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3D2DC4" w14:paraId="4FF08B15"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0D4A1909" w14:textId="77777777" w:rsidR="003D2DC4" w:rsidRDefault="00987B17">
            <w:r>
              <w:rPr>
                <w:rFonts w:ascii="Arial" w:eastAsia="Arial" w:hAnsi="Arial" w:cs="Arial"/>
                <w:b/>
                <w:bCs/>
                <w:color w:val="FFFFFF"/>
                <w:sz w:val="16"/>
                <w:szCs w:val="16"/>
              </w:rPr>
              <w:t>THE FORMULA FOR BETTER HEALTH  ·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6EAF2377" w14:textId="77777777" w:rsidR="003D2DC4" w:rsidRDefault="00987B17">
            <w:pPr>
              <w:jc w:val="center"/>
            </w:pPr>
            <w:r>
              <w:rPr>
                <w:rFonts w:ascii="Arial" w:eastAsia="Arial" w:hAnsi="Arial" w:cs="Arial"/>
                <w:b/>
                <w:bCs/>
                <w:color w:val="444444"/>
                <w:sz w:val="16"/>
                <w:szCs w:val="16"/>
              </w:rPr>
              <w:t>STUDENT HANDOUT</w:t>
            </w:r>
          </w:p>
        </w:tc>
      </w:tr>
    </w:tbl>
    <w:p w14:paraId="5A149266" w14:textId="77777777" w:rsidR="003D2DC4" w:rsidRDefault="00987B17">
      <w:pPr>
        <w:spacing w:before="200" w:after="60"/>
      </w:pPr>
      <w:r>
        <w:rPr>
          <w:b/>
          <w:bCs/>
          <w:sz w:val="36"/>
          <w:szCs w:val="36"/>
        </w:rPr>
        <w:t>Stopping Tuberculosis in India: Phased Expansion and the Graveyard of Innovation—Student Case Handout</w:t>
      </w:r>
    </w:p>
    <w:p w14:paraId="624130DD" w14:textId="77777777" w:rsidR="003D2DC4" w:rsidRDefault="003D2DC4">
      <w:pPr>
        <w:pBdr>
          <w:bottom w:val="single" w:sz="4" w:space="0" w:color="008B8B"/>
        </w:pBdr>
      </w:pPr>
    </w:p>
    <w:p w14:paraId="79FC7801" w14:textId="77777777" w:rsidR="003D2DC4" w:rsidRDefault="00987B17">
      <w:pPr>
        <w:spacing w:before="280" w:after="100"/>
      </w:pPr>
      <w:r>
        <w:rPr>
          <w:b/>
          <w:bCs/>
          <w:caps/>
          <w:color w:val="222222"/>
          <w:sz w:val="22"/>
          <w:szCs w:val="22"/>
        </w:rPr>
        <w:t>Required Reading</w:t>
      </w:r>
    </w:p>
    <w:p w14:paraId="6594C9E1" w14:textId="77777777" w:rsidR="003D2DC4" w:rsidRDefault="00987B17">
      <w:pPr>
        <w:spacing w:before="40" w:after="80"/>
        <w:ind w:left="360" w:hanging="280"/>
      </w:pPr>
      <w:r>
        <w:rPr>
          <w:sz w:val="24"/>
          <w:szCs w:val="24"/>
        </w:rPr>
        <w:t>• Frieden, Thomas R. The Formula for Better Health: How to Save Millions of Lives – Including Your Own. MIT Press, 2025. Chapter 4: Believe in a Healthy Future</w:t>
      </w:r>
    </w:p>
    <w:p w14:paraId="18119ED2" w14:textId="77777777" w:rsidR="003D2DC4" w:rsidRDefault="00987B17">
      <w:pPr>
        <w:spacing w:before="280" w:after="100"/>
      </w:pPr>
      <w:r>
        <w:rPr>
          <w:b/>
          <w:bCs/>
          <w:caps/>
          <w:color w:val="222222"/>
          <w:sz w:val="22"/>
          <w:szCs w:val="22"/>
        </w:rPr>
        <w:t>Preparation Question</w:t>
      </w:r>
    </w:p>
    <w:p w14:paraId="7706AF35" w14:textId="070D74BC" w:rsidR="003D2DC4" w:rsidRDefault="00987B17">
      <w:pPr>
        <w:spacing w:after="160"/>
      </w:pPr>
      <w:r>
        <w:rPr>
          <w:sz w:val="24"/>
          <w:szCs w:val="24"/>
        </w:rPr>
        <w:t xml:space="preserve">Before class, write two to three sentences in response to: In the early 1990s, India had </w:t>
      </w:r>
      <w:r w:rsidR="00200109">
        <w:rPr>
          <w:sz w:val="24"/>
          <w:szCs w:val="24"/>
        </w:rPr>
        <w:t>an estimated</w:t>
      </w:r>
      <w:r>
        <w:rPr>
          <w:sz w:val="24"/>
          <w:szCs w:val="24"/>
        </w:rPr>
        <w:t xml:space="preserve"> 500,000 tuberculosis deaths per year. A technically sound treatment approach existed. Why</w:t>
      </w:r>
      <w:r w:rsidR="00957C8F">
        <w:rPr>
          <w:sz w:val="24"/>
          <w:szCs w:val="24"/>
        </w:rPr>
        <w:t xml:space="preserve"> </w:t>
      </w:r>
      <w:r>
        <w:rPr>
          <w:sz w:val="24"/>
          <w:szCs w:val="24"/>
        </w:rPr>
        <w:t>did scaling require a phased approach rather than immediate national implementation? What would have happened if the minister of health had simply ordered all districts to implement the program simultaneously?</w:t>
      </w:r>
    </w:p>
    <w:p w14:paraId="567C8B0D" w14:textId="77777777" w:rsidR="003D2DC4" w:rsidRDefault="00987B17">
      <w:pPr>
        <w:spacing w:before="280" w:after="100"/>
      </w:pPr>
      <w:r>
        <w:rPr>
          <w:b/>
          <w:bCs/>
          <w:caps/>
          <w:color w:val="222222"/>
          <w:sz w:val="22"/>
          <w:szCs w:val="22"/>
        </w:rPr>
        <w:t>The Case</w:t>
      </w:r>
    </w:p>
    <w:p w14:paraId="2FE533FD" w14:textId="6EE58C8A" w:rsidR="003D2DC4" w:rsidRDefault="00987B17">
      <w:pPr>
        <w:spacing w:after="160"/>
      </w:pPr>
      <w:r>
        <w:rPr>
          <w:sz w:val="24"/>
          <w:szCs w:val="24"/>
        </w:rPr>
        <w:t xml:space="preserve">India in the early 1990s faced the world’s largest tuberculosis burden: </w:t>
      </w:r>
      <w:r w:rsidR="00200109">
        <w:rPr>
          <w:sz w:val="24"/>
          <w:szCs w:val="24"/>
        </w:rPr>
        <w:t>an estimated</w:t>
      </w:r>
      <w:r>
        <w:rPr>
          <w:sz w:val="24"/>
          <w:szCs w:val="24"/>
        </w:rPr>
        <w:t xml:space="preserve"> 500,000 deaths per year from a </w:t>
      </w:r>
      <w:r w:rsidR="00957C8F">
        <w:rPr>
          <w:sz w:val="24"/>
          <w:szCs w:val="24"/>
        </w:rPr>
        <w:t xml:space="preserve">treatable </w:t>
      </w:r>
      <w:r>
        <w:rPr>
          <w:sz w:val="24"/>
          <w:szCs w:val="24"/>
        </w:rPr>
        <w:t>disease. The failure was not scientific—</w:t>
      </w:r>
      <w:r w:rsidR="00200109">
        <w:rPr>
          <w:sz w:val="24"/>
          <w:szCs w:val="24"/>
        </w:rPr>
        <w:t>curative treatment for tuberculosis had been discovered decades earlier.</w:t>
      </w:r>
      <w:r>
        <w:rPr>
          <w:sz w:val="24"/>
          <w:szCs w:val="24"/>
        </w:rPr>
        <w:t xml:space="preserve"> </w:t>
      </w:r>
      <w:r w:rsidR="00200109">
        <w:rPr>
          <w:sz w:val="24"/>
          <w:szCs w:val="24"/>
        </w:rPr>
        <w:t>C</w:t>
      </w:r>
      <w:r>
        <w:rPr>
          <w:sz w:val="24"/>
          <w:szCs w:val="24"/>
        </w:rPr>
        <w:t>ould a program</w:t>
      </w:r>
      <w:r w:rsidR="00200109">
        <w:rPr>
          <w:sz w:val="24"/>
          <w:szCs w:val="24"/>
        </w:rPr>
        <w:t xml:space="preserve"> be quickly implemented to save these lives?</w:t>
      </w:r>
      <w:r>
        <w:rPr>
          <w:sz w:val="24"/>
          <w:szCs w:val="24"/>
        </w:rPr>
        <w:t xml:space="preserve"> </w:t>
      </w:r>
    </w:p>
    <w:p w14:paraId="070835A0" w14:textId="77777777" w:rsidR="003D2DC4" w:rsidRDefault="00987B17">
      <w:pPr>
        <w:spacing w:before="280" w:after="100"/>
      </w:pPr>
      <w:r>
        <w:rPr>
          <w:b/>
          <w:bCs/>
          <w:caps/>
          <w:color w:val="222222"/>
          <w:sz w:val="22"/>
          <w:szCs w:val="22"/>
        </w:rPr>
        <w:t>The Graveyard of Innovation</w:t>
      </w:r>
    </w:p>
    <w:p w14:paraId="60FDF4E5" w14:textId="774D6E75" w:rsidR="003D2DC4" w:rsidRDefault="00987B17">
      <w:pPr>
        <w:spacing w:after="160"/>
      </w:pPr>
      <w:r>
        <w:rPr>
          <w:sz w:val="24"/>
          <w:szCs w:val="24"/>
        </w:rPr>
        <w:t xml:space="preserve">“Pilot projects are the graveyard of innovation.” A pilot project asks whether an intervention works under favorable conditions. It typically ends when the evidence period ends, having demonstrated </w:t>
      </w:r>
      <w:r w:rsidR="00200109">
        <w:rPr>
          <w:sz w:val="24"/>
          <w:szCs w:val="24"/>
        </w:rPr>
        <w:t xml:space="preserve">– or failed to demonstrate – </w:t>
      </w:r>
      <w:r>
        <w:rPr>
          <w:sz w:val="24"/>
          <w:szCs w:val="24"/>
        </w:rPr>
        <w:t>effectiveness—and having produced no institutional commitment to what comes next. The staff were specially selected, trained, and supervised. The sites were chosen for their accessibility and willing management. The results were impressive. And then the project ended.</w:t>
      </w:r>
    </w:p>
    <w:p w14:paraId="09A8D0C2" w14:textId="7ECC3D86" w:rsidR="003D2DC4" w:rsidRDefault="00987B17">
      <w:pPr>
        <w:spacing w:after="160"/>
      </w:pPr>
      <w:r>
        <w:rPr>
          <w:sz w:val="24"/>
          <w:szCs w:val="24"/>
        </w:rPr>
        <w:t xml:space="preserve">The problem with pilot-itis—the pattern of permanent piloting—is not that the pilots produce bad evidence. </w:t>
      </w:r>
      <w:r w:rsidR="00957C8F">
        <w:rPr>
          <w:sz w:val="24"/>
          <w:szCs w:val="24"/>
        </w:rPr>
        <w:t>It’s</w:t>
      </w:r>
      <w:r>
        <w:rPr>
          <w:sz w:val="24"/>
          <w:szCs w:val="24"/>
        </w:rPr>
        <w:t xml:space="preserve"> that the conditions that made the pilot succeed are</w:t>
      </w:r>
      <w:r w:rsidR="00200109">
        <w:rPr>
          <w:sz w:val="24"/>
          <w:szCs w:val="24"/>
        </w:rPr>
        <w:t xml:space="preserve"> often</w:t>
      </w:r>
      <w:r>
        <w:rPr>
          <w:sz w:val="24"/>
          <w:szCs w:val="24"/>
        </w:rPr>
        <w:t xml:space="preserve"> not the conditions at scale. The well-trained, supervised, motivated staff of a pilot project are not representative. The results, therefore, are not a reliable prediction of what would happen if the intervention spread</w:t>
      </w:r>
      <w:r w:rsidR="00957C8F">
        <w:rPr>
          <w:sz w:val="24"/>
          <w:szCs w:val="24"/>
        </w:rPr>
        <w:t>, and the investments in the pilot area may not be realistic for the entire country</w:t>
      </w:r>
      <w:r>
        <w:rPr>
          <w:sz w:val="24"/>
          <w:szCs w:val="24"/>
        </w:rPr>
        <w:t>.</w:t>
      </w:r>
    </w:p>
    <w:p w14:paraId="2C5D549B" w14:textId="1FB8C74B" w:rsidR="003D2DC4" w:rsidRDefault="00987B17">
      <w:pPr>
        <w:spacing w:after="160"/>
      </w:pPr>
      <w:r>
        <w:rPr>
          <w:sz w:val="24"/>
          <w:szCs w:val="24"/>
        </w:rPr>
        <w:t>Styblo’s insight was to replace the pilot structure with a phased structure. The difference is not rhetorical—it</w:t>
      </w:r>
      <w:r w:rsidR="00200109">
        <w:rPr>
          <w:sz w:val="24"/>
          <w:szCs w:val="24"/>
        </w:rPr>
        <w:t>’</w:t>
      </w:r>
      <w:r>
        <w:rPr>
          <w:sz w:val="24"/>
          <w:szCs w:val="24"/>
        </w:rPr>
        <w:t xml:space="preserve">s structural. A phase has a built-in commitment: </w:t>
      </w:r>
      <w:r>
        <w:rPr>
          <w:i/>
          <w:iCs/>
          <w:sz w:val="24"/>
          <w:szCs w:val="24"/>
        </w:rPr>
        <w:t>Phase 1 presumes Phase 2.</w:t>
      </w:r>
      <w:r>
        <w:rPr>
          <w:sz w:val="24"/>
          <w:szCs w:val="24"/>
        </w:rPr>
        <w:t xml:space="preserve"> The purpose of Phase 1 is not to test whether the intervention works under favorable conditions. It is to develop the knowledge, management capacity, and institutional commitment required to make the intervention work at scale—and to begin building the relationships and infrastructure that Phase 2 will need.</w:t>
      </w:r>
    </w:p>
    <w:p w14:paraId="138385A5" w14:textId="77777777" w:rsidR="003D2DC4" w:rsidRDefault="00987B17">
      <w:pPr>
        <w:spacing w:before="280" w:after="100"/>
      </w:pPr>
      <w:r>
        <w:rPr>
          <w:b/>
          <w:bCs/>
          <w:caps/>
          <w:color w:val="222222"/>
          <w:sz w:val="22"/>
          <w:szCs w:val="22"/>
        </w:rPr>
        <w:t>Three Criteria for Phase 1</w:t>
      </w:r>
    </w:p>
    <w:p w14:paraId="37AABB6C" w14:textId="77777777" w:rsidR="003D2DC4" w:rsidRDefault="00987B17">
      <w:pPr>
        <w:spacing w:after="160"/>
      </w:pPr>
      <w:r>
        <w:rPr>
          <w:sz w:val="24"/>
          <w:szCs w:val="24"/>
        </w:rPr>
        <w:t>Styblo’s design for Phase 1 programs rested on three criteria, each designed to prevent a specific failure mode that conventional pilots produce.</w:t>
      </w:r>
    </w:p>
    <w:p w14:paraId="2BE4E5B8" w14:textId="20A88194" w:rsidR="003D2DC4" w:rsidRDefault="00987B17">
      <w:pPr>
        <w:spacing w:after="160"/>
      </w:pPr>
      <w:r>
        <w:rPr>
          <w:b/>
          <w:bCs/>
          <w:sz w:val="24"/>
          <w:szCs w:val="24"/>
        </w:rPr>
        <w:t>First: multiple locations.</w:t>
      </w:r>
      <w:r>
        <w:rPr>
          <w:sz w:val="24"/>
          <w:szCs w:val="24"/>
        </w:rPr>
        <w:t xml:space="preserve"> Phase 1 must operate in at least several districts or sites, not one. A single site may succeed</w:t>
      </w:r>
      <w:r w:rsidR="00200109">
        <w:rPr>
          <w:sz w:val="24"/>
          <w:szCs w:val="24"/>
        </w:rPr>
        <w:t xml:space="preserve"> or fail</w:t>
      </w:r>
      <w:r>
        <w:rPr>
          <w:sz w:val="24"/>
          <w:szCs w:val="24"/>
        </w:rPr>
        <w:t xml:space="preserve"> for idiosyncratic reasons: an unusually talented manager, a particularly cooperative local government, </w:t>
      </w:r>
      <w:r w:rsidR="00200109">
        <w:rPr>
          <w:sz w:val="24"/>
          <w:szCs w:val="24"/>
        </w:rPr>
        <w:t>or disruption because of security or other causes</w:t>
      </w:r>
      <w:r>
        <w:rPr>
          <w:sz w:val="24"/>
          <w:szCs w:val="24"/>
        </w:rPr>
        <w:t xml:space="preserve">. Multiple sites </w:t>
      </w:r>
      <w:r w:rsidR="00957C8F">
        <w:rPr>
          <w:sz w:val="24"/>
          <w:szCs w:val="24"/>
        </w:rPr>
        <w:t xml:space="preserve">also </w:t>
      </w:r>
      <w:r>
        <w:rPr>
          <w:sz w:val="24"/>
          <w:szCs w:val="24"/>
        </w:rPr>
        <w:t xml:space="preserve">test whether the approach is genuinely transferable. In India’s Phase 1, five districts were selected, including Vaishali in Bihar. Results consistent across five different sites, each with different management, different health </w:t>
      </w:r>
      <w:r>
        <w:rPr>
          <w:sz w:val="24"/>
          <w:szCs w:val="24"/>
        </w:rPr>
        <w:lastRenderedPageBreak/>
        <w:t>system quality, and different community context, provide stronger evidence</w:t>
      </w:r>
      <w:r w:rsidR="00957C8F">
        <w:rPr>
          <w:sz w:val="24"/>
          <w:szCs w:val="24"/>
        </w:rPr>
        <w:t xml:space="preserve"> –</w:t>
      </w:r>
      <w:r w:rsidR="00200109">
        <w:rPr>
          <w:sz w:val="24"/>
          <w:szCs w:val="24"/>
        </w:rPr>
        <w:t xml:space="preserve"> and many more learnings</w:t>
      </w:r>
      <w:r w:rsidR="00957C8F">
        <w:rPr>
          <w:sz w:val="24"/>
          <w:szCs w:val="24"/>
        </w:rPr>
        <w:t xml:space="preserve"> –</w:t>
      </w:r>
      <w:r>
        <w:rPr>
          <w:sz w:val="24"/>
          <w:szCs w:val="24"/>
        </w:rPr>
        <w:t xml:space="preserve"> that the model will transfer than results from a single showcase district.</w:t>
      </w:r>
    </w:p>
    <w:p w14:paraId="074D8243" w14:textId="7FD647F6" w:rsidR="003D2DC4" w:rsidRDefault="00987B17">
      <w:pPr>
        <w:spacing w:after="160"/>
      </w:pPr>
      <w:r>
        <w:rPr>
          <w:b/>
          <w:bCs/>
          <w:sz w:val="24"/>
          <w:szCs w:val="24"/>
        </w:rPr>
        <w:t>Second: strong leaders.</w:t>
      </w:r>
      <w:r>
        <w:rPr>
          <w:sz w:val="24"/>
          <w:szCs w:val="24"/>
        </w:rPr>
        <w:t xml:space="preserve"> Phase 1 requires </w:t>
      </w:r>
      <w:r w:rsidR="00200109">
        <w:rPr>
          <w:sz w:val="24"/>
          <w:szCs w:val="24"/>
        </w:rPr>
        <w:t>leaders</w:t>
      </w:r>
      <w:r>
        <w:rPr>
          <w:sz w:val="24"/>
          <w:szCs w:val="24"/>
        </w:rPr>
        <w:t xml:space="preserve"> who will adapt the approach to local context, document what works and what doesn’t, and develop the institutional knowledge t</w:t>
      </w:r>
      <w:r w:rsidR="00957C8F">
        <w:rPr>
          <w:sz w:val="24"/>
          <w:szCs w:val="24"/>
        </w:rPr>
        <w:t>o</w:t>
      </w:r>
      <w:r>
        <w:rPr>
          <w:sz w:val="24"/>
          <w:szCs w:val="24"/>
        </w:rPr>
        <w:t xml:space="preserve"> make the model transferable. Phase 1 must give the model its best operational chance. </w:t>
      </w:r>
    </w:p>
    <w:p w14:paraId="438B0394" w14:textId="316BC396" w:rsidR="003D2DC4" w:rsidRDefault="00987B17">
      <w:pPr>
        <w:spacing w:after="160"/>
      </w:pPr>
      <w:r>
        <w:rPr>
          <w:b/>
          <w:bCs/>
          <w:sz w:val="24"/>
          <w:szCs w:val="24"/>
        </w:rPr>
        <w:t>Third: accessible for frequent supervisory visits.</w:t>
      </w:r>
      <w:r>
        <w:rPr>
          <w:sz w:val="24"/>
          <w:szCs w:val="24"/>
        </w:rPr>
        <w:t xml:space="preserve"> Phase 1 sites must be close enough for program leaders to visit regularly. The purpose of Phase 1 is not only to produce results; it</w:t>
      </w:r>
      <w:r w:rsidR="00200109">
        <w:rPr>
          <w:sz w:val="24"/>
          <w:szCs w:val="24"/>
        </w:rPr>
        <w:t>’</w:t>
      </w:r>
      <w:r>
        <w:rPr>
          <w:sz w:val="24"/>
          <w:szCs w:val="24"/>
        </w:rPr>
        <w:t>s to</w:t>
      </w:r>
      <w:r w:rsidR="00957C8F">
        <w:rPr>
          <w:sz w:val="24"/>
          <w:szCs w:val="24"/>
        </w:rPr>
        <w:t xml:space="preserve"> learn</w:t>
      </w:r>
      <w:r>
        <w:rPr>
          <w:sz w:val="24"/>
          <w:szCs w:val="24"/>
        </w:rPr>
        <w:t xml:space="preserve">. </w:t>
      </w:r>
      <w:r w:rsidR="00957C8F">
        <w:rPr>
          <w:sz w:val="24"/>
          <w:szCs w:val="24"/>
        </w:rPr>
        <w:t>Visits reveal</w:t>
      </w:r>
      <w:r>
        <w:rPr>
          <w:sz w:val="24"/>
          <w:szCs w:val="24"/>
        </w:rPr>
        <w:t xml:space="preserve"> whether protocols are being followed, wh</w:t>
      </w:r>
      <w:r w:rsidR="00957C8F">
        <w:rPr>
          <w:sz w:val="24"/>
          <w:szCs w:val="24"/>
        </w:rPr>
        <w:t>at barriers</w:t>
      </w:r>
      <w:r>
        <w:rPr>
          <w:sz w:val="24"/>
          <w:szCs w:val="24"/>
        </w:rPr>
        <w:t xml:space="preserve"> staff fac</w:t>
      </w:r>
      <w:r w:rsidR="00957C8F">
        <w:rPr>
          <w:sz w:val="24"/>
          <w:szCs w:val="24"/>
        </w:rPr>
        <w:t>e, and</w:t>
      </w:r>
      <w:r>
        <w:rPr>
          <w:sz w:val="24"/>
          <w:szCs w:val="24"/>
        </w:rPr>
        <w:t xml:space="preserve"> whether the approach needs adaptation. Frequent visits are joint learning—not inspection. They are the mechanism by which the program discovers what Phase 2 will require.</w:t>
      </w:r>
    </w:p>
    <w:p w14:paraId="47152A4B" w14:textId="77777777" w:rsidR="003D2DC4" w:rsidRDefault="00987B17">
      <w:pPr>
        <w:spacing w:before="280" w:after="100"/>
      </w:pPr>
      <w:r>
        <w:rPr>
          <w:b/>
          <w:bCs/>
          <w:caps/>
          <w:color w:val="222222"/>
          <w:sz w:val="22"/>
          <w:szCs w:val="22"/>
        </w:rPr>
        <w:t>The Question of Speed</w:t>
      </w:r>
    </w:p>
    <w:p w14:paraId="12045DCF" w14:textId="2D800264" w:rsidR="003D2DC4" w:rsidRDefault="00987B17">
      <w:pPr>
        <w:spacing w:after="160"/>
      </w:pPr>
      <w:r>
        <w:rPr>
          <w:sz w:val="24"/>
          <w:szCs w:val="24"/>
        </w:rPr>
        <w:t>If phasing is essential, it raises the question: how fast? Every delay scaling a program represents preventable deaths. The political pressure to move fast</w:t>
      </w:r>
      <w:r w:rsidR="00957C8F">
        <w:rPr>
          <w:sz w:val="24"/>
          <w:szCs w:val="24"/>
        </w:rPr>
        <w:t xml:space="preserve"> </w:t>
      </w:r>
      <w:r>
        <w:rPr>
          <w:sz w:val="24"/>
          <w:szCs w:val="24"/>
        </w:rPr>
        <w:t>is always present—and sometimes right.</w:t>
      </w:r>
    </w:p>
    <w:p w14:paraId="5AC5E5CE" w14:textId="4ED89454" w:rsidR="003D2DC4" w:rsidRDefault="00987B17">
      <w:pPr>
        <w:spacing w:after="160"/>
      </w:pPr>
      <w:r>
        <w:rPr>
          <w:sz w:val="24"/>
          <w:szCs w:val="24"/>
        </w:rPr>
        <w:t>Moving too fast—scaling to all districts before Phase 1 has produced transferable knowledge—thins management capacity, overwhelms supply systems, and loses the quality control that made Phase 1 results meaningful. Moving too slowly lose</w:t>
      </w:r>
      <w:r w:rsidR="00200109">
        <w:rPr>
          <w:sz w:val="24"/>
          <w:szCs w:val="24"/>
        </w:rPr>
        <w:t>s</w:t>
      </w:r>
      <w:r>
        <w:rPr>
          <w:sz w:val="24"/>
          <w:szCs w:val="24"/>
        </w:rPr>
        <w:t xml:space="preserve"> political momentum and institutional support. Phase 1 must be long enough to produce genuine learning and short enough to maintain belief that scale is possible and imminent.</w:t>
      </w:r>
      <w:r w:rsidR="00200109">
        <w:t xml:space="preserve"> </w:t>
      </w:r>
    </w:p>
    <w:p w14:paraId="750DE3E7" w14:textId="77777777" w:rsidR="003D2DC4" w:rsidRDefault="00987B17">
      <w:pPr>
        <w:spacing w:before="280" w:after="100"/>
      </w:pPr>
      <w:r>
        <w:rPr>
          <w:b/>
          <w:bCs/>
          <w:caps/>
          <w:color w:val="222222"/>
          <w:sz w:val="22"/>
          <w:szCs w:val="22"/>
        </w:rPr>
        <w:t>What Phased Expansion Builds</w:t>
      </w:r>
    </w:p>
    <w:p w14:paraId="7DBA5269" w14:textId="5399872E" w:rsidR="003D2DC4" w:rsidRDefault="00987B17">
      <w:pPr>
        <w:spacing w:after="160"/>
      </w:pPr>
      <w:r>
        <w:rPr>
          <w:sz w:val="24"/>
          <w:szCs w:val="24"/>
        </w:rPr>
        <w:t xml:space="preserve">The purpose of phased expansion is not only to avoid failure at scale. </w:t>
      </w:r>
      <w:r w:rsidR="00957C8F">
        <w:rPr>
          <w:sz w:val="24"/>
          <w:szCs w:val="24"/>
        </w:rPr>
        <w:t xml:space="preserve">It builds management capacity, transferrable knowledge, and </w:t>
      </w:r>
      <w:r w:rsidR="00957C8F" w:rsidRPr="00957C8F">
        <w:t>i</w:t>
      </w:r>
      <w:r w:rsidRPr="00957C8F">
        <w:rPr>
          <w:sz w:val="24"/>
          <w:szCs w:val="24"/>
        </w:rPr>
        <w:t>nstitutional and political commitment. Phase</w:t>
      </w:r>
      <w:r>
        <w:rPr>
          <w:sz w:val="24"/>
          <w:szCs w:val="24"/>
        </w:rPr>
        <w:t xml:space="preserve"> 1 results, properly documented and communicated, build the case for Phase 2. They build the expectation that expansion will follow—making Phase 2 the default rather than a new political decision.</w:t>
      </w:r>
    </w:p>
    <w:p w14:paraId="6FF88692" w14:textId="77777777" w:rsidR="003D2DC4" w:rsidRDefault="00987B17">
      <w:pPr>
        <w:spacing w:before="280" w:after="100"/>
      </w:pPr>
      <w:r>
        <w:rPr>
          <w:b/>
          <w:bCs/>
          <w:caps/>
          <w:color w:val="222222"/>
          <w:sz w:val="22"/>
          <w:szCs w:val="22"/>
        </w:rPr>
        <w:t>Discussion Questions</w:t>
      </w:r>
    </w:p>
    <w:p w14:paraId="2C4F759E" w14:textId="77777777" w:rsidR="003D2DC4" w:rsidRDefault="00987B17">
      <w:pPr>
        <w:spacing w:after="160"/>
      </w:pPr>
      <w:r>
        <w:rPr>
          <w:b/>
          <w:bCs/>
          <w:sz w:val="24"/>
          <w:szCs w:val="24"/>
        </w:rPr>
        <w:t>1.</w:t>
      </w:r>
      <w:r>
        <w:rPr>
          <w:sz w:val="24"/>
          <w:szCs w:val="24"/>
        </w:rPr>
        <w:t xml:space="preserve"> What distinguishes Styblo’s three Phase 1 criteria from the criteria you would expect a conventional pilot project to use? What failure does each criterion prevent?</w:t>
      </w:r>
    </w:p>
    <w:p w14:paraId="7F5FFB7F" w14:textId="11C2EB85" w:rsidR="003D2DC4" w:rsidRDefault="00987B17">
      <w:pPr>
        <w:spacing w:after="160"/>
      </w:pPr>
      <w:r>
        <w:rPr>
          <w:b/>
          <w:bCs/>
          <w:sz w:val="24"/>
          <w:szCs w:val="24"/>
        </w:rPr>
        <w:t>2.</w:t>
      </w:r>
      <w:r>
        <w:rPr>
          <w:sz w:val="24"/>
          <w:szCs w:val="24"/>
        </w:rPr>
        <w:t xml:space="preserve"> A health minister argues that the evidence from Phase 1 is sufficient to justify immediate national scale-up and that every additional year of phasing represents preventable deaths. How would you respond? Under what conditions would immediate scale-up be justified?</w:t>
      </w:r>
    </w:p>
    <w:p w14:paraId="5A10BC5B" w14:textId="77777777" w:rsidR="003D2DC4" w:rsidRDefault="00987B17">
      <w:pPr>
        <w:spacing w:before="280" w:after="100"/>
      </w:pPr>
      <w:r>
        <w:rPr>
          <w:b/>
          <w:bCs/>
          <w:caps/>
          <w:color w:val="222222"/>
          <w:sz w:val="22"/>
          <w:szCs w:val="22"/>
        </w:rPr>
        <w:t>Small-Group Discussion Topics</w:t>
      </w:r>
    </w:p>
    <w:p w14:paraId="4F16CA52" w14:textId="5D234158" w:rsidR="003D2DC4" w:rsidRDefault="00987B17">
      <w:pPr>
        <w:spacing w:after="160"/>
      </w:pPr>
      <w:r>
        <w:rPr>
          <w:b/>
          <w:bCs/>
          <w:sz w:val="24"/>
          <w:szCs w:val="24"/>
        </w:rPr>
        <w:t>1.</w:t>
      </w:r>
      <w:r>
        <w:rPr>
          <w:sz w:val="24"/>
          <w:szCs w:val="24"/>
        </w:rPr>
        <w:t xml:space="preserve"> Apply Styblo’s three Phase 1 criteria to a public health program you know or have studied. Does it meet all three? What would it take to redesign the program to meet all three?</w:t>
      </w:r>
    </w:p>
    <w:p w14:paraId="385C8EC5" w14:textId="6450536B" w:rsidR="003D2DC4" w:rsidRDefault="00987B17">
      <w:pPr>
        <w:spacing w:after="160"/>
      </w:pPr>
      <w:r>
        <w:rPr>
          <w:b/>
          <w:bCs/>
          <w:sz w:val="24"/>
          <w:szCs w:val="24"/>
        </w:rPr>
        <w:t>2.</w:t>
      </w:r>
      <w:r>
        <w:rPr>
          <w:sz w:val="24"/>
          <w:szCs w:val="24"/>
        </w:rPr>
        <w:t xml:space="preserve"> You are the health minister’s advisor. Phase 1 results in five districts are strong. The minister wants to scale </w:t>
      </w:r>
      <w:r w:rsidR="00957C8F">
        <w:rPr>
          <w:sz w:val="24"/>
          <w:szCs w:val="24"/>
        </w:rPr>
        <w:t xml:space="preserve">to the entire country </w:t>
      </w:r>
      <w:r>
        <w:rPr>
          <w:sz w:val="24"/>
          <w:szCs w:val="24"/>
        </w:rPr>
        <w:t>within twelve months. You believe this is too fast. Make the case for a more measured pace using the phased expansion framework</w:t>
      </w:r>
      <w:r w:rsidR="00957C8F">
        <w:rPr>
          <w:sz w:val="24"/>
          <w:szCs w:val="24"/>
        </w:rPr>
        <w:t>.</w:t>
      </w:r>
    </w:p>
    <w:sectPr w:rsidR="003D2DC4">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9AC7" w14:textId="77777777" w:rsidR="00B926C2" w:rsidRDefault="00B926C2">
      <w:r>
        <w:separator/>
      </w:r>
    </w:p>
  </w:endnote>
  <w:endnote w:type="continuationSeparator" w:id="0">
    <w:p w14:paraId="0B03E119" w14:textId="77777777" w:rsidR="00B926C2" w:rsidRDefault="00B9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DCBE" w14:textId="06061782" w:rsidR="003D2DC4" w:rsidRDefault="00987B17">
    <w:pPr>
      <w:jc w:val="center"/>
    </w:pPr>
    <w:r>
      <w:rPr>
        <w:color w:val="888888"/>
        <w:sz w:val="18"/>
        <w:szCs w:val="18"/>
      </w:rPr>
      <w:t xml:space="preserve">The Formula for Better Health  ·  MIT Press, 2025  ·  </w:t>
    </w:r>
    <w:r w:rsidR="00E65A97">
      <w:rPr>
        <w:color w:val="888888"/>
        <w:sz w:val="18"/>
        <w:szCs w:val="18"/>
      </w:rPr>
      <w:t>theformulaforbetterhealth.net/</w:t>
    </w:r>
    <w:r w:rsidR="00E65A97">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4C3B" w14:textId="77777777" w:rsidR="00B926C2" w:rsidRDefault="00B926C2">
      <w:r>
        <w:separator/>
      </w:r>
    </w:p>
  </w:footnote>
  <w:footnote w:type="continuationSeparator" w:id="0">
    <w:p w14:paraId="45D94D38" w14:textId="77777777" w:rsidR="00B926C2" w:rsidRDefault="00B92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B0435"/>
    <w:multiLevelType w:val="hybridMultilevel"/>
    <w:tmpl w:val="2BFE1300"/>
    <w:lvl w:ilvl="0" w:tplc="575CF99E">
      <w:start w:val="1"/>
      <w:numFmt w:val="bullet"/>
      <w:lvlText w:val="●"/>
      <w:lvlJc w:val="left"/>
      <w:pPr>
        <w:ind w:left="720" w:hanging="360"/>
      </w:pPr>
    </w:lvl>
    <w:lvl w:ilvl="1" w:tplc="AD007A44">
      <w:start w:val="1"/>
      <w:numFmt w:val="bullet"/>
      <w:lvlText w:val="○"/>
      <w:lvlJc w:val="left"/>
      <w:pPr>
        <w:ind w:left="1440" w:hanging="360"/>
      </w:pPr>
    </w:lvl>
    <w:lvl w:ilvl="2" w:tplc="0296A23C">
      <w:start w:val="1"/>
      <w:numFmt w:val="bullet"/>
      <w:lvlText w:val="■"/>
      <w:lvlJc w:val="left"/>
      <w:pPr>
        <w:ind w:left="2160" w:hanging="360"/>
      </w:pPr>
    </w:lvl>
    <w:lvl w:ilvl="3" w:tplc="55BC668C">
      <w:start w:val="1"/>
      <w:numFmt w:val="bullet"/>
      <w:lvlText w:val="●"/>
      <w:lvlJc w:val="left"/>
      <w:pPr>
        <w:ind w:left="2880" w:hanging="360"/>
      </w:pPr>
    </w:lvl>
    <w:lvl w:ilvl="4" w:tplc="88FCC6E2">
      <w:start w:val="1"/>
      <w:numFmt w:val="bullet"/>
      <w:lvlText w:val="○"/>
      <w:lvlJc w:val="left"/>
      <w:pPr>
        <w:ind w:left="3600" w:hanging="360"/>
      </w:pPr>
    </w:lvl>
    <w:lvl w:ilvl="5" w:tplc="64629FE0">
      <w:start w:val="1"/>
      <w:numFmt w:val="bullet"/>
      <w:lvlText w:val="■"/>
      <w:lvlJc w:val="left"/>
      <w:pPr>
        <w:ind w:left="4320" w:hanging="360"/>
      </w:pPr>
    </w:lvl>
    <w:lvl w:ilvl="6" w:tplc="E8EE78D4">
      <w:start w:val="1"/>
      <w:numFmt w:val="bullet"/>
      <w:lvlText w:val="●"/>
      <w:lvlJc w:val="left"/>
      <w:pPr>
        <w:ind w:left="5040" w:hanging="360"/>
      </w:pPr>
    </w:lvl>
    <w:lvl w:ilvl="7" w:tplc="CE7AB65A">
      <w:start w:val="1"/>
      <w:numFmt w:val="bullet"/>
      <w:lvlText w:val="●"/>
      <w:lvlJc w:val="left"/>
      <w:pPr>
        <w:ind w:left="5760" w:hanging="360"/>
      </w:pPr>
    </w:lvl>
    <w:lvl w:ilvl="8" w:tplc="3454E24A">
      <w:start w:val="1"/>
      <w:numFmt w:val="bullet"/>
      <w:lvlText w:val="●"/>
      <w:lvlJc w:val="left"/>
      <w:pPr>
        <w:ind w:left="6480" w:hanging="360"/>
      </w:pPr>
    </w:lvl>
  </w:abstractNum>
  <w:num w:numId="1" w16cid:durableId="701059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C4"/>
    <w:rsid w:val="00124A45"/>
    <w:rsid w:val="00200109"/>
    <w:rsid w:val="003D2DC4"/>
    <w:rsid w:val="00957C8C"/>
    <w:rsid w:val="00957C8F"/>
    <w:rsid w:val="00987B17"/>
    <w:rsid w:val="00B466FB"/>
    <w:rsid w:val="00B926C2"/>
    <w:rsid w:val="00C30566"/>
    <w:rsid w:val="00D8693D"/>
    <w:rsid w:val="00D9786A"/>
    <w:rsid w:val="00E65A97"/>
    <w:rsid w:val="00F4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C9FAB"/>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65A97"/>
    <w:pPr>
      <w:tabs>
        <w:tab w:val="center" w:pos="4680"/>
        <w:tab w:val="right" w:pos="9360"/>
      </w:tabs>
    </w:pPr>
  </w:style>
  <w:style w:type="character" w:customStyle="1" w:styleId="HeaderChar">
    <w:name w:val="Header Char"/>
    <w:basedOn w:val="DefaultParagraphFont"/>
    <w:link w:val="Header"/>
    <w:uiPriority w:val="99"/>
    <w:rsid w:val="00E65A97"/>
  </w:style>
  <w:style w:type="paragraph" w:styleId="Footer">
    <w:name w:val="footer"/>
    <w:basedOn w:val="Normal"/>
    <w:link w:val="FooterChar"/>
    <w:uiPriority w:val="99"/>
    <w:unhideWhenUsed/>
    <w:rsid w:val="00E65A97"/>
    <w:pPr>
      <w:tabs>
        <w:tab w:val="center" w:pos="4680"/>
        <w:tab w:val="right" w:pos="9360"/>
      </w:tabs>
    </w:pPr>
  </w:style>
  <w:style w:type="character" w:customStyle="1" w:styleId="FooterChar">
    <w:name w:val="Footer Char"/>
    <w:basedOn w:val="DefaultParagraphFont"/>
    <w:link w:val="Footer"/>
    <w:uiPriority w:val="99"/>
    <w:rsid w:val="00E6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22D72-59E4-45D1-9873-180468630C88}">
  <ds:schemaRefs>
    <ds:schemaRef ds:uri="http://schemas.microsoft.com/office/2006/metadata/properties"/>
    <ds:schemaRef ds:uri="http://schemas.microsoft.com/office/infopath/2007/PartnerControls"/>
    <ds:schemaRef ds:uri="89c6c834-5500-4d34-8d4a-2e90563177f5"/>
  </ds:schemaRefs>
</ds:datastoreItem>
</file>

<file path=customXml/itemProps2.xml><?xml version="1.0" encoding="utf-8"?>
<ds:datastoreItem xmlns:ds="http://schemas.openxmlformats.org/officeDocument/2006/customXml" ds:itemID="{80F3D2E0-2BBC-456B-BC9C-FA35224E3812}">
  <ds:schemaRefs>
    <ds:schemaRef ds:uri="http://schemas.microsoft.com/sharepoint/v3/contenttype/forms"/>
  </ds:schemaRefs>
</ds:datastoreItem>
</file>

<file path=customXml/itemProps3.xml><?xml version="1.0" encoding="utf-8"?>
<ds:datastoreItem xmlns:ds="http://schemas.openxmlformats.org/officeDocument/2006/customXml" ds:itemID="{776DC96A-79C0-4FA5-AA86-E0D86CE4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939</Words>
  <Characters>5216</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2026-03-16T20:31:00Z</dcterms:created>
  <dcterms:modified xsi:type="dcterms:W3CDTF">2026-03-16T21:22:00Z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2026-03-08T15:18:03Z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ef82f1b0-432e-4be3-b42b-5c5d3b2a188e</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