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F2BA8" w14:textId="77777777" w:rsidR="00A706FA" w:rsidRDefault="00A706FA">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360"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6500"/>
        <w:gridCol w:w="2860"/>
      </w:tblGrid>
      <w:tr w:rsidR="00A706FA" w14:paraId="4A1F1004" w14:textId="77777777">
        <w:tc>
          <w:tcPr>
            <w:tcW w:w="6500" w:type="dxa"/>
            <w:tcBorders>
              <w:top w:val="nil"/>
              <w:left w:val="nil"/>
              <w:bottom w:val="nil"/>
              <w:right w:val="nil"/>
            </w:tcBorders>
            <w:shd w:val="clear" w:color="auto" w:fill="008B8B"/>
            <w:tcMar>
              <w:top w:w="80" w:type="dxa"/>
              <w:left w:w="160" w:type="dxa"/>
              <w:bottom w:w="80" w:type="dxa"/>
              <w:right w:w="80" w:type="dxa"/>
            </w:tcMar>
          </w:tcPr>
          <w:p w14:paraId="079AACB1" w14:textId="77777777" w:rsidR="00A706FA" w:rsidRDefault="00C72F0C">
            <w:r>
              <w:rPr>
                <w:rFonts w:ascii="Arial" w:eastAsia="Arial" w:hAnsi="Arial" w:cs="Arial"/>
                <w:b/>
                <w:bCs/>
                <w:color w:val="FFFFFF"/>
                <w:sz w:val="16"/>
                <w:szCs w:val="16"/>
              </w:rPr>
              <w:t>THE FORMULA FOR BETTER HEALTH  ·  CASE STUDY: SEE/BELIEVE/CREATE</w:t>
            </w:r>
          </w:p>
        </w:tc>
        <w:tc>
          <w:tcPr>
            <w:tcW w:w="2860" w:type="dxa"/>
            <w:tcBorders>
              <w:top w:val="nil"/>
              <w:left w:val="nil"/>
              <w:bottom w:val="nil"/>
              <w:right w:val="nil"/>
            </w:tcBorders>
            <w:shd w:val="clear" w:color="auto" w:fill="CCCCCC"/>
            <w:tcMar>
              <w:top w:w="80" w:type="dxa"/>
              <w:left w:w="80" w:type="dxa"/>
              <w:bottom w:w="80" w:type="dxa"/>
              <w:right w:w="160" w:type="dxa"/>
            </w:tcMar>
            <w:vAlign w:val="center"/>
          </w:tcPr>
          <w:p w14:paraId="53DFC1EA" w14:textId="77777777" w:rsidR="00A706FA" w:rsidRDefault="00C72F0C">
            <w:pPr>
              <w:jc w:val="center"/>
            </w:pPr>
            <w:r>
              <w:rPr>
                <w:rFonts w:ascii="Arial" w:eastAsia="Arial" w:hAnsi="Arial" w:cs="Arial"/>
                <w:b/>
                <w:bCs/>
                <w:color w:val="444444"/>
                <w:sz w:val="16"/>
                <w:szCs w:val="16"/>
              </w:rPr>
              <w:t>INSTRUCTOR GUIDE</w:t>
            </w:r>
          </w:p>
        </w:tc>
      </w:tr>
    </w:tbl>
    <w:p w14:paraId="24B63369" w14:textId="77777777" w:rsidR="00A706FA" w:rsidRDefault="00C72F0C">
      <w:pPr>
        <w:spacing w:before="200" w:after="60"/>
      </w:pPr>
      <w:r>
        <w:rPr>
          <w:b/>
          <w:bCs/>
          <w:sz w:val="36"/>
          <w:szCs w:val="36"/>
        </w:rPr>
        <w:t>Stopping Tuberculosis in India: Phased Expansion and the Graveyard of Innovation—Instructor Guide</w:t>
      </w:r>
    </w:p>
    <w:p w14:paraId="7CDF0155" w14:textId="77777777" w:rsidR="00A706FA" w:rsidRDefault="00A706FA">
      <w:pPr>
        <w:pBdr>
          <w:bottom w:val="single" w:sz="4" w:space="0" w:color="008B8B"/>
        </w:pBdr>
      </w:pPr>
    </w:p>
    <w:p w14:paraId="124310F1" w14:textId="77777777" w:rsidR="00A706FA" w:rsidRDefault="00C72F0C">
      <w:pPr>
        <w:spacing w:before="280" w:after="100"/>
      </w:pPr>
      <w:r>
        <w:rPr>
          <w:b/>
          <w:bCs/>
          <w:smallCaps/>
          <w:color w:val="222222"/>
          <w:sz w:val="22"/>
          <w:szCs w:val="22"/>
        </w:rPr>
        <w:t>PURPOSE</w:t>
      </w:r>
    </w:p>
    <w:p w14:paraId="31EDB928" w14:textId="77777777" w:rsidR="00A706FA" w:rsidRDefault="00C72F0C">
      <w:pPr>
        <w:spacing w:after="160"/>
      </w:pPr>
      <w:r>
        <w:rPr>
          <w:sz w:val="24"/>
          <w:szCs w:val="24"/>
        </w:rPr>
        <w:t>This guide supports teaching of the TB India case study in courses on public health practice, program management, global health, or implementation science. The case illustrates the difference between pilot projects and phased expansion—and why the difference is not merely tactical but structural. ‘Pilot projects are the graveyard of innovation’: not because pilots produce bad evidence, but because they produce evidence under conditions that do not predict performance at scale. Styblo’s three criteria for Phase 1 design address the specific failure modes that make pilots dead ends. The India tuberculosis program shows how those criteria work in a high-burden, low-resource setting—and what speed of scaling is sustainable without losing the quality that made Phase 1 results meaningful.</w:t>
      </w:r>
    </w:p>
    <w:p w14:paraId="07E4F193" w14:textId="77777777" w:rsidR="00A706FA" w:rsidRDefault="00C72F0C">
      <w:pPr>
        <w:spacing w:before="280" w:after="100"/>
      </w:pPr>
      <w:r>
        <w:rPr>
          <w:b/>
          <w:bCs/>
          <w:smallCaps/>
          <w:color w:val="222222"/>
          <w:sz w:val="22"/>
          <w:szCs w:val="22"/>
        </w:rPr>
        <w:t>COURSE FIT AND SUGGESTED USE</w:t>
      </w:r>
    </w:p>
    <w:p w14:paraId="75145729" w14:textId="77777777" w:rsidR="00A706FA" w:rsidRDefault="00C72F0C">
      <w:pPr>
        <w:spacing w:after="160"/>
      </w:pPr>
      <w:r>
        <w:rPr>
          <w:b/>
          <w:bCs/>
          <w:sz w:val="24"/>
          <w:szCs w:val="24"/>
        </w:rPr>
        <w:t>Best fit:</w:t>
      </w:r>
      <w:r>
        <w:rPr>
          <w:sz w:val="24"/>
          <w:szCs w:val="24"/>
        </w:rPr>
        <w:t xml:space="preserve"> global health, public health practice, program management, implementation science, or introduction to public health.</w:t>
      </w:r>
    </w:p>
    <w:p w14:paraId="2860BA08" w14:textId="77777777" w:rsidR="00A706FA" w:rsidRDefault="00C72F0C">
      <w:pPr>
        <w:spacing w:after="160"/>
      </w:pPr>
      <w:r>
        <w:rPr>
          <w:b/>
          <w:bCs/>
          <w:sz w:val="24"/>
          <w:szCs w:val="24"/>
        </w:rPr>
        <w:t>Level:</w:t>
      </w:r>
      <w:r>
        <w:rPr>
          <w:sz w:val="24"/>
          <w:szCs w:val="24"/>
        </w:rPr>
        <w:t xml:space="preserve"> upper-level undergraduate or graduate.</w:t>
      </w:r>
    </w:p>
    <w:p w14:paraId="21CD7B3B" w14:textId="77777777" w:rsidR="00A706FA" w:rsidRDefault="00C72F0C">
      <w:pPr>
        <w:spacing w:after="160"/>
      </w:pPr>
      <w:r>
        <w:rPr>
          <w:b/>
          <w:bCs/>
          <w:sz w:val="24"/>
          <w:szCs w:val="24"/>
        </w:rPr>
        <w:t>Time:</w:t>
      </w:r>
      <w:r>
        <w:rPr>
          <w:sz w:val="24"/>
          <w:szCs w:val="24"/>
        </w:rPr>
        <w:t xml:space="preserve"> one 60-minute session. Can extend to 90 minutes with small-group scaling simulation.</w:t>
      </w:r>
    </w:p>
    <w:p w14:paraId="62FD545B" w14:textId="77777777" w:rsidR="00A706FA" w:rsidRDefault="00C72F0C">
      <w:pPr>
        <w:spacing w:after="160"/>
      </w:pPr>
      <w:r>
        <w:rPr>
          <w:b/>
          <w:bCs/>
          <w:sz w:val="24"/>
          <w:szCs w:val="24"/>
        </w:rPr>
        <w:t>Placement:</w:t>
      </w:r>
      <w:r>
        <w:rPr>
          <w:sz w:val="24"/>
          <w:szCs w:val="24"/>
        </w:rPr>
        <w:t xml:space="preserve"> works best after students have read Chapter 4 of </w:t>
      </w:r>
      <w:r>
        <w:rPr>
          <w:i/>
          <w:iCs/>
          <w:sz w:val="24"/>
          <w:szCs w:val="24"/>
        </w:rPr>
        <w:t>The Formula for Better Health</w:t>
      </w:r>
      <w:r>
        <w:rPr>
          <w:sz w:val="24"/>
          <w:szCs w:val="24"/>
        </w:rPr>
        <w:t xml:space="preserve"> and have been introduced to basic concepts of program implementation.</w:t>
      </w:r>
    </w:p>
    <w:p w14:paraId="2B9A23AA" w14:textId="77777777" w:rsidR="00A706FA" w:rsidRDefault="00C72F0C">
      <w:pPr>
        <w:spacing w:before="280" w:after="100"/>
      </w:pPr>
      <w:r>
        <w:rPr>
          <w:b/>
          <w:bCs/>
          <w:smallCaps/>
          <w:color w:val="222222"/>
          <w:sz w:val="22"/>
          <w:szCs w:val="22"/>
        </w:rPr>
        <w:t>LEARNING OBJECTIVES</w:t>
      </w:r>
    </w:p>
    <w:p w14:paraId="53570D38" w14:textId="77777777" w:rsidR="00A706FA" w:rsidRDefault="00C72F0C">
      <w:pPr>
        <w:spacing w:after="160"/>
      </w:pPr>
      <w:r>
        <w:rPr>
          <w:sz w:val="24"/>
          <w:szCs w:val="24"/>
        </w:rPr>
        <w:t>By the end of the session, students should be able to:</w:t>
      </w:r>
    </w:p>
    <w:p w14:paraId="4DA2FCBA" w14:textId="46A8E480" w:rsidR="00A706FA" w:rsidRDefault="00C72F0C">
      <w:pPr>
        <w:spacing w:before="40" w:after="80"/>
        <w:ind w:left="360" w:hanging="280"/>
      </w:pPr>
      <w:r>
        <w:rPr>
          <w:sz w:val="24"/>
          <w:szCs w:val="24"/>
        </w:rPr>
        <w:t>• Explain why pilot projects systematically fail to predict performance at scale and distinguish them structurally from phased expansion.</w:t>
      </w:r>
    </w:p>
    <w:p w14:paraId="00C64E2E" w14:textId="399EF594" w:rsidR="00A706FA" w:rsidRDefault="00C72F0C">
      <w:pPr>
        <w:spacing w:before="40" w:after="80"/>
        <w:ind w:left="360" w:hanging="280"/>
      </w:pPr>
      <w:r>
        <w:rPr>
          <w:sz w:val="24"/>
          <w:szCs w:val="24"/>
        </w:rPr>
        <w:t xml:space="preserve">• Apply Styblo’s </w:t>
      </w:r>
      <w:r w:rsidR="00AE7C7D">
        <w:rPr>
          <w:sz w:val="24"/>
          <w:szCs w:val="24"/>
        </w:rPr>
        <w:t xml:space="preserve">three </w:t>
      </w:r>
      <w:r>
        <w:rPr>
          <w:sz w:val="24"/>
          <w:szCs w:val="24"/>
        </w:rPr>
        <w:t>Phase 1 criteria to a program and identify which failure each criterion prevents.</w:t>
      </w:r>
    </w:p>
    <w:p w14:paraId="52B1EFAF" w14:textId="77777777" w:rsidR="00A706FA" w:rsidRDefault="00C72F0C">
      <w:pPr>
        <w:spacing w:before="40" w:after="80"/>
        <w:ind w:left="360" w:hanging="280"/>
      </w:pPr>
      <w:r>
        <w:rPr>
          <w:sz w:val="24"/>
          <w:szCs w:val="24"/>
        </w:rPr>
        <w:t>• Analyze the costs of scaling too fast and too slow and describe how to navigate the tension between speed and quality.</w:t>
      </w:r>
    </w:p>
    <w:p w14:paraId="0F44F687" w14:textId="77777777" w:rsidR="00A706FA" w:rsidRDefault="00C72F0C">
      <w:pPr>
        <w:spacing w:before="40" w:after="80"/>
        <w:ind w:left="360" w:hanging="280"/>
      </w:pPr>
      <w:r>
        <w:rPr>
          <w:sz w:val="24"/>
          <w:szCs w:val="24"/>
        </w:rPr>
        <w:t>• Describe what a Phase 1 program must produce—beyond outcome data—to serve as a genuine foundation for Phase 2.</w:t>
      </w:r>
    </w:p>
    <w:p w14:paraId="63B251D6" w14:textId="77777777" w:rsidR="00A706FA" w:rsidRDefault="00C72F0C">
      <w:pPr>
        <w:spacing w:before="40" w:after="80"/>
        <w:ind w:left="360" w:hanging="280"/>
      </w:pPr>
      <w:r>
        <w:rPr>
          <w:sz w:val="24"/>
          <w:szCs w:val="24"/>
        </w:rPr>
        <w:t>• Apply the phased expansion framework to a contemporary public health program.</w:t>
      </w:r>
    </w:p>
    <w:p w14:paraId="4AFA72CE" w14:textId="77777777" w:rsidR="00A706FA" w:rsidRDefault="00C72F0C">
      <w:pPr>
        <w:spacing w:before="280" w:after="100"/>
      </w:pPr>
      <w:r>
        <w:rPr>
          <w:b/>
          <w:bCs/>
          <w:smallCaps/>
          <w:color w:val="222222"/>
          <w:sz w:val="22"/>
          <w:szCs w:val="22"/>
        </w:rPr>
        <w:t>SESSION STRUCTURE (60 MINUTES)</w:t>
      </w:r>
    </w:p>
    <w:p w14:paraId="0513308A" w14:textId="77777777" w:rsidR="00A706FA" w:rsidRDefault="00C72F0C">
      <w:pPr>
        <w:spacing w:after="160"/>
      </w:pPr>
      <w:r>
        <w:rPr>
          <w:b/>
          <w:bCs/>
          <w:sz w:val="24"/>
          <w:szCs w:val="24"/>
        </w:rPr>
        <w:t>0–5 min</w:t>
      </w:r>
      <w:r>
        <w:rPr>
          <w:sz w:val="24"/>
          <w:szCs w:val="24"/>
        </w:rPr>
        <w:t xml:space="preserve"> — Opening: ask two students to read preparation question responses. Note the range of answers.</w:t>
      </w:r>
    </w:p>
    <w:p w14:paraId="4C39E098" w14:textId="77777777" w:rsidR="00A706FA" w:rsidRDefault="00C72F0C">
      <w:pPr>
        <w:spacing w:after="160"/>
      </w:pPr>
      <w:r>
        <w:rPr>
          <w:b/>
          <w:bCs/>
          <w:sz w:val="24"/>
          <w:szCs w:val="24"/>
        </w:rPr>
        <w:t>5–15 min</w:t>
      </w:r>
      <w:r>
        <w:rPr>
          <w:sz w:val="24"/>
          <w:szCs w:val="24"/>
        </w:rPr>
        <w:t xml:space="preserve"> — Brief lecture: pilot vs. phase, the three criteria, and the speed question.</w:t>
      </w:r>
    </w:p>
    <w:p w14:paraId="636A057A" w14:textId="77777777" w:rsidR="00A706FA" w:rsidRDefault="00C72F0C">
      <w:pPr>
        <w:spacing w:after="160"/>
      </w:pPr>
      <w:r>
        <w:rPr>
          <w:b/>
          <w:bCs/>
          <w:sz w:val="24"/>
          <w:szCs w:val="24"/>
        </w:rPr>
        <w:t>15–35 min</w:t>
      </w:r>
      <w:r>
        <w:rPr>
          <w:sz w:val="24"/>
          <w:szCs w:val="24"/>
        </w:rPr>
        <w:t xml:space="preserve"> — Full-class discussion on the two questions.</w:t>
      </w:r>
    </w:p>
    <w:p w14:paraId="7561067D" w14:textId="16F2CFFA" w:rsidR="00A706FA" w:rsidRDefault="00C72F0C" w:rsidP="005F4A5E">
      <w:pPr>
        <w:tabs>
          <w:tab w:val="left" w:pos="7061"/>
        </w:tabs>
        <w:spacing w:after="160"/>
      </w:pPr>
      <w:r>
        <w:rPr>
          <w:b/>
          <w:bCs/>
          <w:sz w:val="24"/>
          <w:szCs w:val="24"/>
        </w:rPr>
        <w:t>35–55 min</w:t>
      </w:r>
      <w:r>
        <w:rPr>
          <w:sz w:val="24"/>
          <w:szCs w:val="24"/>
        </w:rPr>
        <w:t xml:space="preserve"> — Small-group scaling simulation.</w:t>
      </w:r>
      <w:r w:rsidR="005F4A5E">
        <w:rPr>
          <w:sz w:val="24"/>
          <w:szCs w:val="24"/>
        </w:rPr>
        <w:tab/>
      </w:r>
    </w:p>
    <w:p w14:paraId="2642DC34" w14:textId="77777777" w:rsidR="00A706FA" w:rsidRDefault="00C72F0C">
      <w:pPr>
        <w:spacing w:after="160"/>
      </w:pPr>
      <w:r>
        <w:rPr>
          <w:b/>
          <w:bCs/>
          <w:sz w:val="24"/>
          <w:szCs w:val="24"/>
        </w:rPr>
        <w:t>55–60 min</w:t>
      </w:r>
      <w:r>
        <w:rPr>
          <w:sz w:val="24"/>
          <w:szCs w:val="24"/>
        </w:rPr>
        <w:t xml:space="preserve"> — Synthesis: what does Phase 1 need to produce?</w:t>
      </w:r>
    </w:p>
    <w:p w14:paraId="6E0674DB" w14:textId="77777777" w:rsidR="00A706FA" w:rsidRDefault="00C72F0C">
      <w:pPr>
        <w:spacing w:before="200" w:after="80"/>
      </w:pPr>
      <w:r>
        <w:rPr>
          <w:b/>
          <w:bCs/>
          <w:sz w:val="24"/>
          <w:szCs w:val="24"/>
        </w:rPr>
        <w:lastRenderedPageBreak/>
        <w:t>Opening (0–5 min)</w:t>
      </w:r>
    </w:p>
    <w:p w14:paraId="08BDD7B8" w14:textId="77777777" w:rsidR="00A706FA" w:rsidRDefault="00C72F0C">
      <w:pPr>
        <w:spacing w:after="160"/>
      </w:pPr>
      <w:r>
        <w:rPr>
          <w:sz w:val="24"/>
          <w:szCs w:val="24"/>
        </w:rPr>
        <w:t xml:space="preserve">Ask two or three students to share their preparation question responses. The goal is to surface both the intuitive case for speed and the structural case for phasing—and to hold the tension between them throughout the session. </w:t>
      </w:r>
    </w:p>
    <w:p w14:paraId="76095F5E" w14:textId="77777777" w:rsidR="00A706FA" w:rsidRDefault="00C72F0C">
      <w:pPr>
        <w:spacing w:before="200" w:after="80"/>
      </w:pPr>
      <w:r>
        <w:rPr>
          <w:b/>
          <w:bCs/>
          <w:sz w:val="24"/>
          <w:szCs w:val="24"/>
        </w:rPr>
        <w:t>Brief Lecture: Pilot vs. Phase and the Three Criteria (5–15 min)</w:t>
      </w:r>
    </w:p>
    <w:p w14:paraId="609C9BD2" w14:textId="77777777" w:rsidR="00A706FA" w:rsidRDefault="00C72F0C">
      <w:pPr>
        <w:spacing w:after="160"/>
      </w:pPr>
      <w:r>
        <w:rPr>
          <w:sz w:val="24"/>
          <w:szCs w:val="24"/>
        </w:rPr>
        <w:t>Cover these points concisely. Students have read the handout; this is framing, not repetition.</w:t>
      </w:r>
    </w:p>
    <w:p w14:paraId="7312BF19" w14:textId="77777777" w:rsidR="00A706FA" w:rsidRDefault="00C72F0C">
      <w:pPr>
        <w:spacing w:before="40" w:after="80"/>
        <w:ind w:left="360" w:hanging="280"/>
      </w:pPr>
      <w:r>
        <w:rPr>
          <w:sz w:val="24"/>
          <w:szCs w:val="24"/>
        </w:rPr>
        <w:t>• </w:t>
      </w:r>
      <w:r>
        <w:rPr>
          <w:b/>
          <w:bCs/>
          <w:sz w:val="24"/>
          <w:szCs w:val="24"/>
        </w:rPr>
        <w:t>The structural difference:</w:t>
      </w:r>
      <w:r>
        <w:rPr>
          <w:sz w:val="24"/>
          <w:szCs w:val="24"/>
        </w:rPr>
        <w:t xml:space="preserve"> A pilot asks whether it works. A phase presumes it does and commits to expansion. The difference is not in evidence quality—it is in institutional commitment. Phase 1 presumes Phase 2 not as a hope but as a structural fact of the program design.</w:t>
      </w:r>
    </w:p>
    <w:p w14:paraId="313A0CEE" w14:textId="77777777" w:rsidR="00A706FA" w:rsidRDefault="00C72F0C">
      <w:pPr>
        <w:spacing w:before="40" w:after="80"/>
        <w:ind w:left="360" w:hanging="280"/>
      </w:pPr>
      <w:r>
        <w:rPr>
          <w:sz w:val="24"/>
          <w:szCs w:val="24"/>
        </w:rPr>
        <w:t>• </w:t>
      </w:r>
      <w:r>
        <w:rPr>
          <w:b/>
          <w:bCs/>
          <w:sz w:val="24"/>
          <w:szCs w:val="24"/>
        </w:rPr>
        <w:t>Why pilots fail:</w:t>
      </w:r>
      <w:r>
        <w:rPr>
          <w:sz w:val="24"/>
          <w:szCs w:val="24"/>
        </w:rPr>
        <w:t xml:space="preserve"> Pilot conditions—selected sites, special staff, intensive supervision—are not predictive of scale conditions. The pilot that succeeds in the best district with the best manager does not tell you what will happen in the forty-seventh district with an average manager. Phase 1 is designed to answer a different question: what conditions make this transferable?</w:t>
      </w:r>
    </w:p>
    <w:p w14:paraId="1B0EE10D" w14:textId="77777777" w:rsidR="00A706FA" w:rsidRDefault="00C72F0C">
      <w:pPr>
        <w:spacing w:before="40" w:after="80"/>
        <w:ind w:left="360" w:hanging="280"/>
      </w:pPr>
      <w:r>
        <w:rPr>
          <w:sz w:val="24"/>
          <w:szCs w:val="24"/>
        </w:rPr>
        <w:t>• </w:t>
      </w:r>
      <w:r>
        <w:rPr>
          <w:b/>
          <w:bCs/>
          <w:sz w:val="24"/>
          <w:szCs w:val="24"/>
        </w:rPr>
        <w:t>The three criteria:</w:t>
      </w:r>
      <w:r>
        <w:rPr>
          <w:sz w:val="24"/>
          <w:szCs w:val="24"/>
        </w:rPr>
        <w:t xml:space="preserve"> Multiple locations (tests transferability, not idiosyncratic success). Strong leaders (gives the model its best chance; weak management produces uninterpretable results). Accessible for supervisory visits (enables joint learning—the program discovers what Phase 2 needs to know).</w:t>
      </w:r>
    </w:p>
    <w:p w14:paraId="24DC7A5A" w14:textId="09BABBE4" w:rsidR="00A706FA" w:rsidRDefault="00C72F0C">
      <w:pPr>
        <w:spacing w:before="40" w:after="80"/>
        <w:ind w:left="360" w:hanging="280"/>
      </w:pPr>
      <w:r>
        <w:rPr>
          <w:sz w:val="24"/>
          <w:szCs w:val="24"/>
        </w:rPr>
        <w:t>• </w:t>
      </w:r>
      <w:r>
        <w:rPr>
          <w:b/>
          <w:bCs/>
          <w:sz w:val="24"/>
          <w:szCs w:val="24"/>
        </w:rPr>
        <w:t>The speed question:</w:t>
      </w:r>
      <w:r>
        <w:rPr>
          <w:sz w:val="24"/>
          <w:szCs w:val="24"/>
        </w:rPr>
        <w:t xml:space="preserve"> Scaling too fast thins management and loses quality. Scaling too slow loses political momentum, staff motivation, and institutional support. The right speed is determined by when Phase 1 has produced transferable knowledge and enough trained managers to lead Phase 2 districts—not by a political deadline or an arbitrary calendar.</w:t>
      </w:r>
    </w:p>
    <w:p w14:paraId="394EA53D" w14:textId="77777777" w:rsidR="00A706FA" w:rsidRDefault="00C72F0C">
      <w:pPr>
        <w:spacing w:after="160"/>
      </w:pPr>
      <w:r>
        <w:rPr>
          <w:sz w:val="24"/>
          <w:szCs w:val="24"/>
        </w:rPr>
        <w:t xml:space="preserve">Core framing: </w:t>
      </w:r>
      <w:r>
        <w:rPr>
          <w:b/>
          <w:bCs/>
          <w:sz w:val="24"/>
          <w:szCs w:val="24"/>
        </w:rPr>
        <w:t>What must Phase 1 produce?</w:t>
      </w:r>
      <w:r>
        <w:rPr>
          <w:sz w:val="24"/>
          <w:szCs w:val="24"/>
        </w:rPr>
        <w:t xml:space="preserve"> Not just outcome data—management capacity, transferable knowledge, and institutional commitment. A Phase 1 that produces excellent outcome data but no trained managers who can lead Phase 2 districts is not a foundation for scale. The three criteria are designed to ensure that Phase 1 produces all three.</w:t>
      </w:r>
    </w:p>
    <w:p w14:paraId="1925E722" w14:textId="77777777" w:rsidR="00A706FA" w:rsidRDefault="00C72F0C">
      <w:pPr>
        <w:spacing w:before="280" w:after="100"/>
      </w:pPr>
      <w:r>
        <w:rPr>
          <w:b/>
          <w:bCs/>
          <w:smallCaps/>
          <w:color w:val="222222"/>
          <w:sz w:val="22"/>
          <w:szCs w:val="22"/>
        </w:rPr>
        <w:t>DISCUSSION QUESTION GUIDANCE</w:t>
      </w:r>
    </w:p>
    <w:p w14:paraId="5E20D240" w14:textId="77777777" w:rsidR="00A706FA" w:rsidRDefault="00C72F0C">
      <w:pPr>
        <w:spacing w:after="200"/>
      </w:pPr>
      <w:r>
        <w:rPr>
          <w:i/>
          <w:iCs/>
          <w:sz w:val="24"/>
          <w:szCs w:val="24"/>
        </w:rPr>
        <w:t>Preparation question (repeated from handout): In the early 1990s, India had an estimated 500,000 tuberculosis deaths per year. A technically sound treatment approach existed. Why did scaling require a phased approach rather than immediate national implementation? What would have happened if the minister of health had simply ordered all districts to implement the program simultaneously?</w:t>
      </w:r>
    </w:p>
    <w:p w14:paraId="2C2EC55B" w14:textId="77777777" w:rsidR="00A706FA" w:rsidRDefault="00C72F0C">
      <w:pPr>
        <w:spacing w:before="280" w:after="280"/>
        <w:rPr>
          <w:sz w:val="24"/>
          <w:szCs w:val="24"/>
        </w:rPr>
      </w:pPr>
      <w:r>
        <w:rPr>
          <w:sz w:val="24"/>
          <w:szCs w:val="24"/>
        </w:rPr>
        <w:t xml:space="preserve">Strong responses will identify the specific operational constraint: a simultaneous national rollout would have thinned management capacity below the level needed to maintain quality, overwhelmed drug supply chains, and made supervisory visits impossible at the required frequency. Weaker responses will identify size or coordination complexity without specifying the mechanism — push those students toward the question of what, concretely, fails first. On the "what would have happened" half of the question: look for students who recognize that a program deployed at too-thin management capacity doesn't announce its failure — it produces quietly poor results that are averaged into aggregate statistics, making the failure invisible until the damage is done. </w:t>
      </w:r>
    </w:p>
    <w:p w14:paraId="19560150" w14:textId="77777777" w:rsidR="00A706FA" w:rsidRDefault="00C72F0C">
      <w:pPr>
        <w:spacing w:before="200" w:after="80"/>
      </w:pPr>
      <w:r>
        <w:rPr>
          <w:b/>
          <w:bCs/>
          <w:sz w:val="24"/>
          <w:szCs w:val="24"/>
        </w:rPr>
        <w:t>Question 1 — The Three Criteria</w:t>
      </w:r>
    </w:p>
    <w:p w14:paraId="137D17F5" w14:textId="77777777" w:rsidR="00A706FA" w:rsidRDefault="00C72F0C">
      <w:pPr>
        <w:spacing w:after="200"/>
      </w:pPr>
      <w:r>
        <w:rPr>
          <w:i/>
          <w:iCs/>
          <w:sz w:val="24"/>
          <w:szCs w:val="24"/>
        </w:rPr>
        <w:t>Discussion question: What distinguishes Styblo’s three Phase 1 criteria from the criteria you would expect a conventional pilot project to use? What failure does each criterion prevent?</w:t>
      </w:r>
    </w:p>
    <w:p w14:paraId="410CC6D4" w14:textId="77777777" w:rsidR="00A706FA" w:rsidRDefault="00C72F0C">
      <w:pPr>
        <w:spacing w:after="160"/>
      </w:pPr>
      <w:r>
        <w:rPr>
          <w:sz w:val="24"/>
          <w:szCs w:val="24"/>
        </w:rPr>
        <w:t xml:space="preserve">Students typically understand the ‘multiple locations’ criterion intuitively but underestimate the other two. Push on the strong manager criterion: the conventional pilot selects the best site to maximize success rates and produce the most impressive results. Styblo selected for strong managers—not favorable sites—specifically to create transferable knowledge. A program that succeeds in the best site </w:t>
      </w:r>
      <w:r>
        <w:rPr>
          <w:sz w:val="24"/>
          <w:szCs w:val="24"/>
        </w:rPr>
        <w:lastRenderedPageBreak/>
        <w:t>with the best conditions cannot answer whether it will succeed in an average site with an average manager. Ask students: what is the difference between selecting for favorable conditions and selecting for strong management?</w:t>
      </w:r>
    </w:p>
    <w:p w14:paraId="22348F08" w14:textId="77777777" w:rsidR="00A706FA" w:rsidRDefault="00C72F0C">
      <w:pPr>
        <w:spacing w:after="160"/>
      </w:pPr>
      <w:r>
        <w:rPr>
          <w:sz w:val="24"/>
          <w:szCs w:val="24"/>
        </w:rPr>
        <w:t>On the accessible supervision criterion: push students past ‘better quality control’ toward the specific mechanism. Phase 1 supervision is joint learning, not inspection. The program leader who visits weekly learns things that reports do not contain: the outreach worker who is discouraging patients from seeking treatment, the drug supply interruption that isn’t documented, the community barrier that requires a protocol adaptation. This learning is what makes Phase 2 realistic rather than aspirational.</w:t>
      </w:r>
    </w:p>
    <w:p w14:paraId="555FDB7B" w14:textId="77777777" w:rsidR="00A706FA" w:rsidRDefault="00C72F0C">
      <w:pPr>
        <w:spacing w:after="160"/>
      </w:pPr>
      <w:r>
        <w:rPr>
          <w:sz w:val="24"/>
          <w:szCs w:val="24"/>
        </w:rPr>
        <w:t>A good synthesis question: If a Phase 1 program meets all three criteria, what does it produce that a pilot project cannot? The answer should include: evidence of transferability (not just effectiveness), trained managers who can lead Phase 2 districts, operational knowledge that could only be discovered through real-world implementation, and institutional commitment to expansion built into the program structure.</w:t>
      </w:r>
    </w:p>
    <w:p w14:paraId="5973D2A7" w14:textId="77777777" w:rsidR="00A706FA" w:rsidRDefault="00C72F0C">
      <w:pPr>
        <w:spacing w:before="200" w:after="80"/>
      </w:pPr>
      <w:r>
        <w:rPr>
          <w:b/>
          <w:bCs/>
          <w:sz w:val="24"/>
          <w:szCs w:val="24"/>
        </w:rPr>
        <w:t>Question 2 — The Speed Tension</w:t>
      </w:r>
    </w:p>
    <w:p w14:paraId="4B6529C2" w14:textId="77777777" w:rsidR="00A706FA" w:rsidRDefault="00C72F0C">
      <w:pPr>
        <w:spacing w:after="200"/>
      </w:pPr>
      <w:r>
        <w:rPr>
          <w:i/>
          <w:iCs/>
          <w:sz w:val="24"/>
          <w:szCs w:val="24"/>
        </w:rPr>
        <w:t>Discussion question: A health minister argues that the evidence from Phase 1 is sufficient to justify immediate national scale-up and that every additional year of phasing represents preventable deaths. How would you respond using the framework from Chapter 4? Under what conditions would immediate scale-up be justified?</w:t>
      </w:r>
    </w:p>
    <w:p w14:paraId="02FFD032" w14:textId="77777777" w:rsidR="00A706FA" w:rsidRDefault="00C72F0C">
      <w:pPr>
        <w:spacing w:after="160"/>
      </w:pPr>
      <w:r>
        <w:rPr>
          <w:sz w:val="24"/>
          <w:szCs w:val="24"/>
        </w:rPr>
        <w:t>This is the hardest question in the case—and the one with the most direct policy relevance. The minister’s argument is not wrong: every year of delay is preventable deaths. The phasing argument must engage that reality, not avoid it.</w:t>
      </w:r>
    </w:p>
    <w:p w14:paraId="2AE2C40A" w14:textId="77777777" w:rsidR="00A706FA" w:rsidRDefault="00C72F0C">
      <w:pPr>
        <w:spacing w:after="160"/>
      </w:pPr>
      <w:r>
        <w:rPr>
          <w:sz w:val="24"/>
          <w:szCs w:val="24"/>
        </w:rPr>
        <w:t>The framework’s response: the costs of scaling too fast are also preventable deaths. A program scaled beyond its management capacity will have poor treatment success rates; patients who fail treatment are more likely to develop drug-resistant TB; drug-resistant TB is harder and more expensive to treat; a program that scales fast and produces poor results is harder to recover than one that scales carefully and achieves consistent quality. The argument for phasing is not that speed is wrong but that speed without management capacity produces worse outcomes than the alternative.</w:t>
      </w:r>
    </w:p>
    <w:p w14:paraId="58877E1D" w14:textId="77777777" w:rsidR="00A706FA" w:rsidRDefault="00C72F0C">
      <w:pPr>
        <w:spacing w:after="160"/>
      </w:pPr>
      <w:r>
        <w:rPr>
          <w:sz w:val="24"/>
          <w:szCs w:val="24"/>
        </w:rPr>
        <w:t>The conditions under which immediate scale-up would be justified: when the program has already produced trained managers for every district that will receive the program, when drug supply and laboratory capacity are confirmed at national scale, and when supervisory coverage can be maintained across the expanded program. In practice, these conditions are rarely met simultaneously—which is why phasing is the default, not the exception.</w:t>
      </w:r>
    </w:p>
    <w:p w14:paraId="60FDFE24" w14:textId="77777777" w:rsidR="00A706FA" w:rsidRDefault="00C72F0C">
      <w:pPr>
        <w:spacing w:after="160"/>
      </w:pPr>
      <w:r>
        <w:rPr>
          <w:sz w:val="24"/>
          <w:szCs w:val="24"/>
        </w:rPr>
        <w:t>Ask students: How would you maintain the health minister’s belief in the goal while arguing for a more careful pace? This connects the session to Chapter 4’s broader theme: cultivated optimism requires framing careful expansion as protecting the achievement, not delaying it.</w:t>
      </w:r>
    </w:p>
    <w:p w14:paraId="0B0BA298" w14:textId="77777777" w:rsidR="00A706FA" w:rsidRDefault="00C72F0C">
      <w:pPr>
        <w:spacing w:before="280" w:after="100"/>
      </w:pPr>
      <w:r>
        <w:rPr>
          <w:b/>
          <w:bCs/>
          <w:smallCaps/>
          <w:color w:val="222222"/>
          <w:sz w:val="22"/>
          <w:szCs w:val="22"/>
        </w:rPr>
        <w:t>SMALL-GROUP DISCUSSION GUIDANCE</w:t>
      </w:r>
    </w:p>
    <w:p w14:paraId="586949D4" w14:textId="77777777" w:rsidR="00A706FA" w:rsidRDefault="00C72F0C">
      <w:pPr>
        <w:spacing w:before="200" w:after="80"/>
      </w:pPr>
      <w:r>
        <w:rPr>
          <w:b/>
          <w:bCs/>
          <w:sz w:val="24"/>
          <w:szCs w:val="24"/>
        </w:rPr>
        <w:t>Applying the Criteria</w:t>
      </w:r>
    </w:p>
    <w:p w14:paraId="5A423516" w14:textId="77777777" w:rsidR="00A706FA" w:rsidRDefault="00C72F0C">
      <w:pPr>
        <w:spacing w:after="200"/>
      </w:pPr>
      <w:r>
        <w:rPr>
          <w:i/>
          <w:iCs/>
          <w:sz w:val="24"/>
          <w:szCs w:val="24"/>
        </w:rPr>
        <w:t>Discussion scenario: Apply Styblo’s three Phase 1 criteria to a public health program you know or have studied. Does it meet all three? What would it take to redesign the program to meet all three?</w:t>
      </w:r>
    </w:p>
    <w:p w14:paraId="38FB7C7C" w14:textId="77777777" w:rsidR="00A706FA" w:rsidRDefault="00C72F0C">
      <w:pPr>
        <w:spacing w:after="160"/>
      </w:pPr>
      <w:r>
        <w:rPr>
          <w:sz w:val="24"/>
          <w:szCs w:val="24"/>
        </w:rPr>
        <w:t>For each criterion: push past ‘yes it has multiple sites’ to ‘are those sites genuinely varied, or are they all the same kind of location?’ and ‘were leaders selected for their track record of adaptation, or for their willingness to participate?’ The criteria are qualitative tests, not checklists.</w:t>
      </w:r>
    </w:p>
    <w:p w14:paraId="22E385AD" w14:textId="77777777" w:rsidR="00A706FA" w:rsidRDefault="00C72F0C">
      <w:pPr>
        <w:spacing w:before="200" w:after="80"/>
      </w:pPr>
      <w:r>
        <w:rPr>
          <w:b/>
          <w:bCs/>
          <w:sz w:val="24"/>
          <w:szCs w:val="24"/>
        </w:rPr>
        <w:t>Scaling Simulation</w:t>
      </w:r>
    </w:p>
    <w:p w14:paraId="0D8C1584" w14:textId="77777777" w:rsidR="00A706FA" w:rsidRDefault="00C72F0C">
      <w:pPr>
        <w:spacing w:after="200"/>
      </w:pPr>
      <w:r>
        <w:rPr>
          <w:i/>
          <w:iCs/>
          <w:sz w:val="24"/>
          <w:szCs w:val="24"/>
        </w:rPr>
        <w:lastRenderedPageBreak/>
        <w:t>Discussion scenario: You are the health minister’s advisor. Phase 1 results in five districts are strong. The minister wants to scale to the entire country within twelve months. You believe this is too fast. Make the case for a more measured pace using the phased expansion framework.</w:t>
      </w:r>
    </w:p>
    <w:p w14:paraId="5222305C" w14:textId="77777777" w:rsidR="00A706FA" w:rsidRDefault="00C72F0C">
      <w:pPr>
        <w:spacing w:after="160"/>
      </w:pPr>
      <w:r>
        <w:rPr>
          <w:sz w:val="24"/>
          <w:szCs w:val="24"/>
        </w:rPr>
        <w:t>Push groups toward specificity: not ‘we need more time’ but ‘in twelve months, we can have trained managers for twenty districts, confirmed drug supply for twenty districts, and supervisory coverage for twenty districts. Here is the timeline for the remaining twenty.’ The minister’s political concern is that phasing looks like delay; the counter-framing is that phasing protects the Phase 1 results from being diluted.</w:t>
      </w:r>
    </w:p>
    <w:p w14:paraId="04A6173C" w14:textId="77777777" w:rsidR="00A706FA" w:rsidRDefault="00C72F0C">
      <w:pPr>
        <w:spacing w:after="160"/>
      </w:pPr>
      <w:r>
        <w:rPr>
          <w:sz w:val="24"/>
          <w:szCs w:val="24"/>
        </w:rPr>
        <w:t>Connect to Chapter 4’s Rosling both/and: Phase 1 results are real and worth celebrating. Phasing is how you ensure those results are replicated, not averaged out. The goal is scale that works—not scale that dilutes.</w:t>
      </w:r>
    </w:p>
    <w:p w14:paraId="72D61C28" w14:textId="77777777" w:rsidR="00A706FA" w:rsidRDefault="00C72F0C">
      <w:pPr>
        <w:spacing w:before="240"/>
      </w:pPr>
      <w:r>
        <w:br w:type="page"/>
      </w:r>
    </w:p>
    <w:p w14:paraId="1B030FB0" w14:textId="77777777" w:rsidR="00A706FA" w:rsidRDefault="00C72F0C">
      <w:pPr>
        <w:spacing w:before="280" w:after="100"/>
      </w:pPr>
      <w:r>
        <w:rPr>
          <w:b/>
          <w:bCs/>
          <w:smallCaps/>
          <w:color w:val="222222"/>
          <w:sz w:val="22"/>
          <w:szCs w:val="22"/>
        </w:rPr>
        <w:lastRenderedPageBreak/>
        <w:t>POST-CLASS SYNTHESIS</w:t>
      </w:r>
    </w:p>
    <w:p w14:paraId="5F7D8EA7" w14:textId="77777777" w:rsidR="00A706FA" w:rsidRDefault="00C72F0C">
      <w:pPr>
        <w:spacing w:after="200"/>
      </w:pPr>
      <w:r>
        <w:rPr>
          <w:i/>
          <w:iCs/>
          <w:sz w:val="24"/>
          <w:szCs w:val="24"/>
        </w:rPr>
        <w:t>Distribute to students after the session.</w:t>
      </w:r>
    </w:p>
    <w:p w14:paraId="6ED693F4" w14:textId="0BB8BAB9" w:rsidR="00A706FA" w:rsidRDefault="00A706FA">
      <w:pPr>
        <w:rPr>
          <w:b/>
          <w:bCs/>
          <w:sz w:val="28"/>
          <w:szCs w:val="28"/>
        </w:rPr>
      </w:pPr>
    </w:p>
    <w:p w14:paraId="344AB33B" w14:textId="77777777" w:rsidR="007964CE" w:rsidRDefault="007964CE">
      <w:pPr>
        <w:rPr>
          <w:b/>
          <w:bCs/>
          <w:sz w:val="28"/>
          <w:szCs w:val="28"/>
        </w:rPr>
      </w:pPr>
      <w:r>
        <w:rPr>
          <w:b/>
          <w:bCs/>
          <w:sz w:val="28"/>
          <w:szCs w:val="28"/>
        </w:rPr>
        <w:br w:type="page"/>
      </w:r>
    </w:p>
    <w:p w14:paraId="38F6D813" w14:textId="6F15D9A0" w:rsidR="00A706FA" w:rsidRDefault="00C72F0C">
      <w:pPr>
        <w:spacing w:before="100" w:after="100"/>
      </w:pPr>
      <w:r>
        <w:rPr>
          <w:b/>
          <w:bCs/>
          <w:sz w:val="28"/>
          <w:szCs w:val="28"/>
        </w:rPr>
        <w:lastRenderedPageBreak/>
        <w:t>Lessons from TB India and Phased Expansion</w:t>
      </w:r>
    </w:p>
    <w:p w14:paraId="70CC220C" w14:textId="77777777" w:rsidR="00A706FA" w:rsidRDefault="00A706FA">
      <w:pPr>
        <w:pBdr>
          <w:bottom w:val="single" w:sz="4" w:space="0" w:color="008B8B"/>
        </w:pBdr>
      </w:pPr>
    </w:p>
    <w:p w14:paraId="62431BB2" w14:textId="77777777" w:rsidR="00A706FA" w:rsidRDefault="00A706FA">
      <w:pPr>
        <w:spacing w:before="160"/>
      </w:pPr>
    </w:p>
    <w:p w14:paraId="438A66BD" w14:textId="77777777" w:rsidR="00A706FA" w:rsidRDefault="00C72F0C">
      <w:pPr>
        <w:spacing w:before="80" w:after="80"/>
        <w:ind w:left="360" w:hanging="360"/>
      </w:pPr>
      <w:r>
        <w:rPr>
          <w:sz w:val="24"/>
          <w:szCs w:val="24"/>
        </w:rPr>
        <w:t>• </w:t>
      </w:r>
      <w:r>
        <w:rPr>
          <w:b/>
          <w:bCs/>
          <w:sz w:val="24"/>
          <w:szCs w:val="24"/>
        </w:rPr>
        <w:t>Pilot projects are the graveyard of innovation because they answer the wrong question.</w:t>
      </w:r>
      <w:r>
        <w:rPr>
          <w:sz w:val="24"/>
          <w:szCs w:val="24"/>
        </w:rPr>
        <w:t xml:space="preserve"> A pilot asks whether something works under favorable conditions. This is a necessary question but not a sufficient one. The question that determines whether an intervention saves lives at scale is whether it can be transferred to real conditions, with average managers, in an average health system—and whether the institutional commitment exists to make that transfer happen. Styblo’s phased approach is designed to answer that question, not the pilot’s question.</w:t>
      </w:r>
    </w:p>
    <w:p w14:paraId="2F9429CB" w14:textId="77777777" w:rsidR="00A706FA" w:rsidRDefault="00C72F0C">
      <w:pPr>
        <w:spacing w:before="80" w:after="80"/>
        <w:ind w:left="360" w:hanging="360"/>
      </w:pPr>
      <w:r>
        <w:rPr>
          <w:sz w:val="24"/>
          <w:szCs w:val="24"/>
        </w:rPr>
        <w:t>• </w:t>
      </w:r>
      <w:r>
        <w:rPr>
          <w:b/>
          <w:bCs/>
          <w:sz w:val="24"/>
          <w:szCs w:val="24"/>
        </w:rPr>
        <w:t>Phase 1 is designed to produce three things, not one.</w:t>
      </w:r>
      <w:r>
        <w:rPr>
          <w:sz w:val="24"/>
          <w:szCs w:val="24"/>
        </w:rPr>
        <w:t xml:space="preserve"> The obvious output of Phase 1 is outcome data: treatment success rates, case detection rates, adherence figures. But Phase 1 must also produce management capacity (trained managers who can lead Phase 2 districts), transferable knowledge (operational learning that could only come from real-world implementation), and institutional commitment (a pre-committed Phase 2 timeline that begins during Phase 1). A Phase 1 that produces only outcome data is a pilot with a different name.</w:t>
      </w:r>
    </w:p>
    <w:p w14:paraId="62140F02" w14:textId="77777777" w:rsidR="00A706FA" w:rsidRDefault="00C72F0C">
      <w:pPr>
        <w:spacing w:before="80" w:after="80"/>
        <w:ind w:left="360" w:hanging="360"/>
      </w:pPr>
      <w:r>
        <w:rPr>
          <w:sz w:val="24"/>
          <w:szCs w:val="24"/>
        </w:rPr>
        <w:t>• </w:t>
      </w:r>
      <w:r>
        <w:rPr>
          <w:b/>
          <w:bCs/>
          <w:sz w:val="24"/>
          <w:szCs w:val="24"/>
        </w:rPr>
        <w:t>The three criteria are failure-prevention mechanisms, not checklists.</w:t>
      </w:r>
      <w:r>
        <w:rPr>
          <w:sz w:val="24"/>
          <w:szCs w:val="24"/>
        </w:rPr>
        <w:t xml:space="preserve"> Multiple real locations prevents idiosyncratic success from masquerading as transferable evidence. Strong managers prevents uninterpretable results from ambiguous implementation. Accessible supervision enables joint learning that reports cannot capture. Each criterion is designed to prevent a specific failure mode. Meeting all three does not guarantee success—but failing to meet any one creates a predictable failure.</w:t>
      </w:r>
    </w:p>
    <w:p w14:paraId="3690BDC2" w14:textId="77777777" w:rsidR="00A706FA" w:rsidRDefault="00C72F0C">
      <w:pPr>
        <w:spacing w:before="80" w:after="80"/>
        <w:ind w:left="360" w:hanging="360"/>
      </w:pPr>
      <w:r>
        <w:rPr>
          <w:sz w:val="24"/>
          <w:szCs w:val="24"/>
        </w:rPr>
        <w:t>• </w:t>
      </w:r>
      <w:r>
        <w:rPr>
          <w:b/>
          <w:bCs/>
          <w:sz w:val="24"/>
          <w:szCs w:val="24"/>
        </w:rPr>
        <w:t>Speed is a variable to manage, not a default to maximize.</w:t>
      </w:r>
      <w:r>
        <w:rPr>
          <w:sz w:val="24"/>
          <w:szCs w:val="24"/>
        </w:rPr>
        <w:t xml:space="preserve"> The minister’s instinct to scale immediately represents a real cost—preventable deaths during the phasing period. That cost is real and must not be dismissed. The counter-argument is equally real: scaling beyond management capacity produces poor outcomes that are harder to recover than a slower expansion would have been. The right speed is determined by when Phase 1 has produced the management capacity and operational knowledge that Phase 2 requires—not by political pressure or arbitrary deadlines.</w:t>
      </w:r>
    </w:p>
    <w:p w14:paraId="69CC82E2" w14:textId="77777777" w:rsidR="00A706FA" w:rsidRDefault="00C72F0C">
      <w:pPr>
        <w:spacing w:before="80" w:after="80"/>
        <w:ind w:left="360" w:hanging="360"/>
      </w:pPr>
      <w:r>
        <w:rPr>
          <w:sz w:val="24"/>
          <w:szCs w:val="24"/>
        </w:rPr>
        <w:t>• </w:t>
      </w:r>
      <w:r>
        <w:rPr>
          <w:b/>
          <w:bCs/>
          <w:sz w:val="24"/>
          <w:szCs w:val="24"/>
        </w:rPr>
        <w:t>Cultivated optimism frames careful expansion as protecting achievement, not delaying it.</w:t>
      </w:r>
      <w:r>
        <w:rPr>
          <w:sz w:val="24"/>
          <w:szCs w:val="24"/>
        </w:rPr>
        <w:t xml:space="preserve"> Chapter 4’s treatment of belief applies directly to the speed tension: the goal is to maintain a team’s conviction that scale is achievable while arguing for a pace that makes it real. The framing is not ‘we cannot go faster’ but ‘going faster would dilute what we have achieved, and Phase 2 must protect it.’ The Phase 1 results are proof of concept; phased expansion is how that proof becomes population health.</w:t>
      </w:r>
    </w:p>
    <w:sectPr w:rsidR="00A706FA">
      <w:footerReference w:type="default" r:id="rId10"/>
      <w:pgSz w:w="12240" w:h="15840"/>
      <w:pgMar w:top="720" w:right="1080" w:bottom="72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3DEFB0" w14:textId="77777777" w:rsidR="00170025" w:rsidRDefault="00170025">
      <w:r>
        <w:separator/>
      </w:r>
    </w:p>
  </w:endnote>
  <w:endnote w:type="continuationSeparator" w:id="0">
    <w:p w14:paraId="385C295A" w14:textId="77777777" w:rsidR="00170025" w:rsidRDefault="00170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E8F892B-E7B8-6341-97DB-710FF07E446B}"/>
    <w:embedBold r:id="rId2" w:fontKey="{EECDA737-9BC7-B447-8961-CE1C414AB9F6}"/>
    <w:embedItalic r:id="rId3" w:fontKey="{050ACC7F-9A2D-E44D-9A95-8237F13C47AB}"/>
  </w:font>
  <w:font w:name="Georgia">
    <w:panose1 w:val="02040502050405020303"/>
    <w:charset w:val="00"/>
    <w:family w:val="roman"/>
    <w:pitch w:val="variable"/>
    <w:sig w:usb0="00000287" w:usb1="00000000" w:usb2="00000000" w:usb3="00000000" w:csb0="0000009F" w:csb1="00000000"/>
    <w:embedItalic r:id="rId4" w:fontKey="{E54AB499-958C-DC41-A48A-6811E09DFAC9}"/>
  </w:font>
  <w:font w:name="Arial">
    <w:panose1 w:val="020B0604020202020204"/>
    <w:charset w:val="00"/>
    <w:family w:val="swiss"/>
    <w:pitch w:val="variable"/>
    <w:sig w:usb0="E0002EFF" w:usb1="C000785B" w:usb2="00000009" w:usb3="00000000" w:csb0="000001FF" w:csb1="00000000"/>
    <w:embedRegular r:id="rId5" w:fontKey="{4CB32F7A-FFCE-AC4C-AFD8-2BE04DBB8591}"/>
    <w:embedBold r:id="rId6" w:fontKey="{F987764E-C7F3-9649-BB16-6B70A63F54C7}"/>
  </w:font>
  <w:font w:name="Aptos Display">
    <w:panose1 w:val="020B0004020202020204"/>
    <w:charset w:val="00"/>
    <w:family w:val="swiss"/>
    <w:pitch w:val="variable"/>
    <w:sig w:usb0="20000287" w:usb1="00000003" w:usb2="00000000" w:usb3="00000000" w:csb0="0000019F" w:csb1="00000000"/>
    <w:embedRegular r:id="rId7" w:fontKey="{D39871F8-45B1-FF4B-804C-2AFB5E04AF6D}"/>
  </w:font>
  <w:font w:name="Aptos">
    <w:panose1 w:val="020B0004020202020204"/>
    <w:charset w:val="00"/>
    <w:family w:val="swiss"/>
    <w:pitch w:val="variable"/>
    <w:sig w:usb0="20000287" w:usb1="00000003" w:usb2="00000000" w:usb3="00000000" w:csb0="0000019F" w:csb1="00000000"/>
    <w:embedRegular r:id="rId8" w:fontKey="{463C910E-945C-9245-9C33-583B1C4BE5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D60EC" w14:textId="191F9199" w:rsidR="00A706FA" w:rsidRDefault="00C72F0C">
    <w:pPr>
      <w:jc w:val="center"/>
    </w:pPr>
    <w:r>
      <w:rPr>
        <w:color w:val="888888"/>
        <w:sz w:val="18"/>
        <w:szCs w:val="18"/>
      </w:rPr>
      <w:t xml:space="preserve">The Formula for Better Health  ·  MIT Press, 2025  ·  </w:t>
    </w:r>
    <w:r w:rsidR="005F4A5E">
      <w:rPr>
        <w:color w:val="888888"/>
        <w:sz w:val="18"/>
        <w:szCs w:val="18"/>
      </w:rPr>
      <w:t>theformulaforbetterhealth.net/</w:t>
    </w:r>
    <w:r w:rsidR="005F4A5E">
      <w:rPr>
        <w:color w:val="888888"/>
        <w:sz w:val="18"/>
        <w:szCs w:val="18"/>
      </w:rPr>
      <w:t>formulateaching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65CA49" w14:textId="77777777" w:rsidR="00170025" w:rsidRDefault="00170025">
      <w:r>
        <w:separator/>
      </w:r>
    </w:p>
  </w:footnote>
  <w:footnote w:type="continuationSeparator" w:id="0">
    <w:p w14:paraId="09DD471C" w14:textId="77777777" w:rsidR="00170025" w:rsidRDefault="001700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doNotDisplayPageBoundaries/>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6FA"/>
    <w:rsid w:val="00170025"/>
    <w:rsid w:val="004059D2"/>
    <w:rsid w:val="005F4A5E"/>
    <w:rsid w:val="007964CE"/>
    <w:rsid w:val="00957C8C"/>
    <w:rsid w:val="00A706FA"/>
    <w:rsid w:val="00AE7C7D"/>
    <w:rsid w:val="00B466FB"/>
    <w:rsid w:val="00C72F0C"/>
    <w:rsid w:val="00E679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6D3132A"/>
  <w15:docId w15:val="{D1C86734-A699-F646-90E6-F3DAB05BF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styleId="NormalWeb">
    <w:name w:val="Normal (Web)"/>
    <w:basedOn w:val="Normal"/>
    <w:uiPriority w:val="99"/>
    <w:semiHidden/>
    <w:unhideWhenUsed/>
    <w:rsid w:val="007A1E5B"/>
    <w:pPr>
      <w:spacing w:before="100" w:beforeAutospacing="1" w:after="100" w:afterAutospacing="1"/>
    </w:pPr>
    <w:rPr>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0" w:type="dxa"/>
        <w:right w:w="10" w:type="dxa"/>
      </w:tblCellMar>
    </w:tblPr>
  </w:style>
  <w:style w:type="paragraph" w:styleId="Header">
    <w:name w:val="header"/>
    <w:basedOn w:val="Normal"/>
    <w:link w:val="HeaderChar"/>
    <w:uiPriority w:val="99"/>
    <w:unhideWhenUsed/>
    <w:rsid w:val="005F4A5E"/>
    <w:pPr>
      <w:tabs>
        <w:tab w:val="center" w:pos="4680"/>
        <w:tab w:val="right" w:pos="9360"/>
      </w:tabs>
    </w:pPr>
  </w:style>
  <w:style w:type="character" w:customStyle="1" w:styleId="HeaderChar">
    <w:name w:val="Header Char"/>
    <w:basedOn w:val="DefaultParagraphFont"/>
    <w:link w:val="Header"/>
    <w:uiPriority w:val="99"/>
    <w:rsid w:val="005F4A5E"/>
  </w:style>
  <w:style w:type="paragraph" w:styleId="Footer">
    <w:name w:val="footer"/>
    <w:basedOn w:val="Normal"/>
    <w:link w:val="FooterChar"/>
    <w:uiPriority w:val="99"/>
    <w:unhideWhenUsed/>
    <w:rsid w:val="005F4A5E"/>
    <w:pPr>
      <w:tabs>
        <w:tab w:val="center" w:pos="4680"/>
        <w:tab w:val="right" w:pos="9360"/>
      </w:tabs>
    </w:pPr>
  </w:style>
  <w:style w:type="character" w:customStyle="1" w:styleId="FooterChar">
    <w:name w:val="Footer Char"/>
    <w:basedOn w:val="DefaultParagraphFont"/>
    <w:link w:val="Footer"/>
    <w:uiPriority w:val="99"/>
    <w:rsid w:val="005F4A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5719744DB93641A8403A60BF24F6D2" ma:contentTypeVersion="15" ma:contentTypeDescription="Create a new document." ma:contentTypeScope="" ma:versionID="5f36845b1f1627a778cdf16d10f379a3">
  <xsd:schema xmlns:xsd="http://www.w3.org/2001/XMLSchema" xmlns:xs="http://www.w3.org/2001/XMLSchema" xmlns:p="http://schemas.microsoft.com/office/2006/metadata/properties" xmlns:ns2="89c6c834-5500-4d34-8d4a-2e90563177f5" xmlns:ns3="8cc82467-8cb5-4206-ba7c-5e39ccabeebb" targetNamespace="http://schemas.microsoft.com/office/2006/metadata/properties" ma:root="true" ma:fieldsID="da4900190a686e0e4816f311ebe1f90b" ns2:_="" ns3:_="">
    <xsd:import namespace="89c6c834-5500-4d34-8d4a-2e90563177f5"/>
    <xsd:import namespace="8cc82467-8cb5-4206-ba7c-5e39ccabee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c6c834-5500-4d34-8d4a-2e90563177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2f55c54-333a-4ed3-a999-6f0836af511a"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c82467-8cb5-4206-ba7c-5e39ccabeeb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9c6c834-5500-4d34-8d4a-2e90563177f5">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9iAlrCDx8GVsjIHdUR38tYmkQ==">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</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F1246D-B7B1-402A-A43C-884430E0E0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c6c834-5500-4d34-8d4a-2e90563177f5"/>
    <ds:schemaRef ds:uri="8cc82467-8cb5-4206-ba7c-5e39ccabee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C3C84A-83E0-441C-B072-0DCC2B96723C}">
  <ds:schemaRefs>
    <ds:schemaRef ds:uri="http://schemas.microsoft.com/office/2006/metadata/properties"/>
    <ds:schemaRef ds:uri="http://schemas.microsoft.com/office/infopath/2007/PartnerControls"/>
    <ds:schemaRef ds:uri="89c6c834-5500-4d34-8d4a-2e90563177f5"/>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05A68E5-6220-461D-9C4A-D894789FAE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2051</Words>
  <Characters>11550</Characters>
  <Application>Microsoft Office Word</Application>
  <DocSecurity>0</DocSecurity>
  <Lines>175</Lines>
  <Paragraphs>72</Paragraphs>
  <ScaleCrop>false</ScaleCrop>
  <Company/>
  <LinksUpToDate>false</LinksUpToDate>
  <CharactersWithSpaces>13529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Tom Frieden</cp:lastModifiedBy>
  <cp:revision>4</cp:revision>
  <dcterms:created xsi:type="dcterms:W3CDTF">2026-03-16T20:31:00Z</dcterms:created>
  <dcterms:modified xsi:type="dcterms:W3CDTF">2026-03-16T21:22:00Z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2026-03-08T16:04:21Z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762de5b4-45da-4234-a5e1-ee3e978f8a57</vt:lpwstr>
  </property>
  <property fmtid="{D5CDD505-2E9C-101B-9397-08002B2CF9AE}" pid="7" name="MSIP_Label_defa4170-0d19-0005-0004-bc88714345d2_ActionId">
    <vt:lpwstr>f38d8874-6bd4-4648-b504-572bf7951383</vt:lpwstr>
  </property>
  <property fmtid="{D5CDD505-2E9C-101B-9397-08002B2CF9AE}" pid="8" name="MSIP_Label_defa4170-0d19-0005-0004-bc88714345d2_ContentBits">
    <vt:lpwstr>0</vt:lpwstr>
  </property>
  <property fmtid="{D5CDD505-2E9C-101B-9397-08002B2CF9AE}" pid="9" name="MSIP_Label_defa4170-0d19-0005-0004-bc88714345d2_Tag">
    <vt:lpwstr>50, 3, 0, 1</vt:lpwstr>
  </property>
  <property fmtid="{D5CDD505-2E9C-101B-9397-08002B2CF9AE}" pid="10" name="ContentTypeId">
    <vt:lpwstr>0x010100C15719744DB93641A8403A60BF24F6D2</vt:lpwstr>
  </property>
  <property fmtid="{D5CDD505-2E9C-101B-9397-08002B2CF9AE}" pid="11" name="MediaServiceImageTags">
    <vt:lpwstr/>
  </property>
</Properties>
</file>