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F46188" w14:textId="77777777" w:rsidR="00DA13D8" w:rsidRDefault="00DA13D8">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36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6500"/>
        <w:gridCol w:w="2860"/>
      </w:tblGrid>
      <w:tr w:rsidR="00DA13D8" w14:paraId="7ECD7A3C" w14:textId="77777777">
        <w:tc>
          <w:tcPr>
            <w:tcW w:w="6500" w:type="dxa"/>
            <w:tcBorders>
              <w:top w:val="nil"/>
              <w:left w:val="nil"/>
              <w:bottom w:val="nil"/>
              <w:right w:val="nil"/>
            </w:tcBorders>
            <w:shd w:val="clear" w:color="auto" w:fill="008B8B"/>
            <w:tcMar>
              <w:top w:w="80" w:type="dxa"/>
              <w:left w:w="160" w:type="dxa"/>
              <w:bottom w:w="80" w:type="dxa"/>
              <w:right w:w="80" w:type="dxa"/>
            </w:tcMar>
          </w:tcPr>
          <w:p w14:paraId="474E9F6F" w14:textId="77777777" w:rsidR="00DA13D8" w:rsidRDefault="00592A73">
            <w:r>
              <w:rPr>
                <w:rFonts w:ascii="Arial" w:eastAsia="Arial" w:hAnsi="Arial" w:cs="Arial"/>
                <w:b/>
                <w:bCs/>
                <w:color w:val="FFFFFF"/>
                <w:sz w:val="16"/>
                <w:szCs w:val="16"/>
              </w:rPr>
              <w:t xml:space="preserve">THE FORMULA FOR BETTER </w:t>
            </w:r>
            <w:proofErr w:type="gramStart"/>
            <w:r>
              <w:rPr>
                <w:rFonts w:ascii="Arial" w:eastAsia="Arial" w:hAnsi="Arial" w:cs="Arial"/>
                <w:b/>
                <w:bCs/>
                <w:color w:val="FFFFFF"/>
                <w:sz w:val="16"/>
                <w:szCs w:val="16"/>
              </w:rPr>
              <w:t>HEALTH  ·</w:t>
            </w:r>
            <w:proofErr w:type="gramEnd"/>
            <w:r>
              <w:rPr>
                <w:rFonts w:ascii="Arial" w:eastAsia="Arial" w:hAnsi="Arial" w:cs="Arial"/>
                <w:b/>
                <w:bCs/>
                <w:color w:val="FFFFFF"/>
                <w:sz w:val="16"/>
                <w:szCs w:val="16"/>
              </w:rPr>
              <w:t xml:space="preserve">  CASE STUDY: SEE/BELIEVE/CREATE</w:t>
            </w:r>
          </w:p>
        </w:tc>
        <w:tc>
          <w:tcPr>
            <w:tcW w:w="2860" w:type="dxa"/>
            <w:tcBorders>
              <w:top w:val="nil"/>
              <w:left w:val="nil"/>
              <w:bottom w:val="nil"/>
              <w:right w:val="nil"/>
            </w:tcBorders>
            <w:shd w:val="clear" w:color="auto" w:fill="CCCCCC"/>
            <w:tcMar>
              <w:top w:w="80" w:type="dxa"/>
              <w:left w:w="80" w:type="dxa"/>
              <w:bottom w:w="80" w:type="dxa"/>
              <w:right w:w="160" w:type="dxa"/>
            </w:tcMar>
            <w:vAlign w:val="center"/>
          </w:tcPr>
          <w:p w14:paraId="2E474276" w14:textId="77777777" w:rsidR="00DA13D8" w:rsidRDefault="00592A73">
            <w:pPr>
              <w:jc w:val="center"/>
            </w:pPr>
            <w:r>
              <w:rPr>
                <w:rFonts w:ascii="Arial" w:eastAsia="Arial" w:hAnsi="Arial" w:cs="Arial"/>
                <w:b/>
                <w:bCs/>
                <w:color w:val="444444"/>
                <w:sz w:val="16"/>
                <w:szCs w:val="16"/>
              </w:rPr>
              <w:t>STUDENT HANDOUT</w:t>
            </w:r>
          </w:p>
        </w:tc>
      </w:tr>
    </w:tbl>
    <w:p w14:paraId="2BD75A0B" w14:textId="77777777" w:rsidR="00DA13D8" w:rsidRDefault="00592A73">
      <w:pPr>
        <w:spacing w:before="200" w:after="60"/>
      </w:pPr>
      <w:r>
        <w:rPr>
          <w:b/>
          <w:bCs/>
          <w:sz w:val="36"/>
          <w:szCs w:val="36"/>
        </w:rPr>
        <w:t>Seeing the Stall: Tracking Systems and Course Correction in New York City—Student Case Handout</w:t>
      </w:r>
    </w:p>
    <w:p w14:paraId="7FA6106A" w14:textId="77777777" w:rsidR="00DA13D8" w:rsidRDefault="00DA13D8">
      <w:pPr>
        <w:pBdr>
          <w:bottom w:val="single" w:sz="4" w:space="0" w:color="008B8B"/>
        </w:pBdr>
      </w:pPr>
    </w:p>
    <w:p w14:paraId="20D0AA18" w14:textId="77777777" w:rsidR="00DA13D8" w:rsidRDefault="00592A73">
      <w:pPr>
        <w:spacing w:before="280" w:after="100"/>
      </w:pPr>
      <w:r>
        <w:rPr>
          <w:b/>
          <w:bCs/>
          <w:smallCaps/>
          <w:color w:val="222222"/>
          <w:sz w:val="22"/>
          <w:szCs w:val="22"/>
        </w:rPr>
        <w:t>REQUIRED READING</w:t>
      </w:r>
    </w:p>
    <w:p w14:paraId="001A30AA" w14:textId="270882CF" w:rsidR="00DA13D8" w:rsidRDefault="00592A73">
      <w:pPr>
        <w:spacing w:before="40" w:after="80"/>
        <w:ind w:left="360" w:hanging="280"/>
      </w:pPr>
      <w:r>
        <w:rPr>
          <w:sz w:val="24"/>
          <w:szCs w:val="24"/>
        </w:rPr>
        <w:t xml:space="preserve">• Frieden, Thomas R. </w:t>
      </w:r>
      <w:r w:rsidRPr="00CE00D4">
        <w:rPr>
          <w:i/>
          <w:iCs/>
          <w:sz w:val="24"/>
          <w:szCs w:val="24"/>
        </w:rPr>
        <w:t>The Formula for Better Health: How to Save Millions of Lives – Including Your Own</w:t>
      </w:r>
      <w:r>
        <w:rPr>
          <w:sz w:val="24"/>
          <w:szCs w:val="24"/>
        </w:rPr>
        <w:t>. MIT Press, 2025. Chapter 1: Seeing the Invisible</w:t>
      </w:r>
    </w:p>
    <w:p w14:paraId="07C9AA5A" w14:textId="77777777" w:rsidR="00DA13D8" w:rsidRDefault="00592A73">
      <w:pPr>
        <w:spacing w:before="280" w:after="100"/>
      </w:pPr>
      <w:r>
        <w:rPr>
          <w:b/>
          <w:bCs/>
          <w:smallCaps/>
          <w:color w:val="222222"/>
          <w:sz w:val="22"/>
          <w:szCs w:val="22"/>
        </w:rPr>
        <w:t>PREPARATION QUESTION</w:t>
      </w:r>
    </w:p>
    <w:p w14:paraId="5E98E1D6" w14:textId="77777777" w:rsidR="00DA13D8" w:rsidRDefault="00592A73">
      <w:pPr>
        <w:spacing w:after="160"/>
      </w:pPr>
      <w:r>
        <w:rPr>
          <w:sz w:val="24"/>
          <w:szCs w:val="24"/>
        </w:rPr>
        <w:t xml:space="preserve">Before class, write two to three sentences in response to: New York City launched aggressive tobacco control programs and smoking rates fell sharply. Then they stalled. Using the surveillance concepts from Chapter 1, explain the difference between surveillance that detects disease and surveillance that manages programs. </w:t>
      </w:r>
    </w:p>
    <w:p w14:paraId="2A1CBE3A" w14:textId="77777777" w:rsidR="00DA13D8" w:rsidRDefault="00592A73">
      <w:pPr>
        <w:spacing w:before="280" w:after="100"/>
      </w:pPr>
      <w:r>
        <w:rPr>
          <w:b/>
          <w:bCs/>
          <w:smallCaps/>
          <w:color w:val="222222"/>
          <w:sz w:val="22"/>
          <w:szCs w:val="22"/>
        </w:rPr>
        <w:t>THE CASE</w:t>
      </w:r>
    </w:p>
    <w:p w14:paraId="2BBA8C6A" w14:textId="77777777" w:rsidR="00DA13D8" w:rsidRDefault="00592A73">
      <w:pPr>
        <w:spacing w:after="160"/>
      </w:pPr>
      <w:r>
        <w:rPr>
          <w:sz w:val="24"/>
          <w:szCs w:val="24"/>
        </w:rPr>
        <w:t>By 2003, New York City had enacted the most comprehensive tobacco control package in American history. Higher cigarette taxes. The Smoke-Free Air Act banned smoking in all workplaces, bars, and restaurants. Smoking rates fell sharply.</w:t>
      </w:r>
    </w:p>
    <w:p w14:paraId="2EA99414" w14:textId="77777777" w:rsidR="00DA13D8" w:rsidRDefault="00592A73">
      <w:pPr>
        <w:spacing w:after="160"/>
      </w:pPr>
      <w:r>
        <w:rPr>
          <w:sz w:val="24"/>
          <w:szCs w:val="24"/>
        </w:rPr>
        <w:t>Then the decline stalled. Citywide, smoking rates plateaued. Because the city tracked smoking rates annually, it knew its programs were no longer working and could change course. The city regrouped. It launched a series of hard-hitting advertising campaigns—showing real New Yorkers with amputations, speaking through laryngectomy devices, suffering strokes—designed to make the consequences of smoking visceral rather than statistical. It continued pushing cigarette taxes higher. And it used the annual Communi</w:t>
      </w:r>
      <w:r>
        <w:rPr>
          <w:sz w:val="24"/>
          <w:szCs w:val="24"/>
        </w:rPr>
        <w:t>ty Health Survey to track whether the campaigns were working zip code by zip code.</w:t>
      </w:r>
    </w:p>
    <w:p w14:paraId="3AA28760" w14:textId="77777777" w:rsidR="00DA13D8" w:rsidRDefault="00592A73">
      <w:pPr>
        <w:spacing w:before="280" w:after="100"/>
      </w:pPr>
      <w:r>
        <w:rPr>
          <w:b/>
          <w:bCs/>
          <w:smallCaps/>
          <w:color w:val="222222"/>
          <w:sz w:val="22"/>
          <w:szCs w:val="22"/>
        </w:rPr>
        <w:t>TWO KINDS OF SURVEILLANCE</w:t>
      </w:r>
    </w:p>
    <w:p w14:paraId="08304BFD" w14:textId="77777777" w:rsidR="00DA13D8" w:rsidRDefault="00592A73">
      <w:pPr>
        <w:spacing w:after="160"/>
      </w:pPr>
      <w:r>
        <w:rPr>
          <w:sz w:val="24"/>
          <w:szCs w:val="24"/>
        </w:rPr>
        <w:t xml:space="preserve">Chapter 1 describes surveillance as the foundation of public health. But surveillance has two distinct </w:t>
      </w:r>
      <w:proofErr w:type="gramStart"/>
      <w:r>
        <w:rPr>
          <w:sz w:val="24"/>
          <w:szCs w:val="24"/>
        </w:rPr>
        <w:t>roles, and</w:t>
      </w:r>
      <w:proofErr w:type="gramEnd"/>
      <w:r>
        <w:rPr>
          <w:sz w:val="24"/>
          <w:szCs w:val="24"/>
        </w:rPr>
        <w:t xml:space="preserve"> confusing them is a serious operational error.</w:t>
      </w:r>
    </w:p>
    <w:p w14:paraId="3FDFE1C8" w14:textId="77777777" w:rsidR="00DA13D8" w:rsidRDefault="00592A73">
      <w:pPr>
        <w:spacing w:after="160"/>
      </w:pPr>
      <w:r>
        <w:rPr>
          <w:b/>
          <w:bCs/>
          <w:sz w:val="24"/>
          <w:szCs w:val="24"/>
        </w:rPr>
        <w:t>Surveillance for disease detection</w:t>
      </w:r>
      <w:r>
        <w:rPr>
          <w:sz w:val="24"/>
          <w:szCs w:val="24"/>
        </w:rPr>
        <w:t xml:space="preserve"> asks: Where is the disease? What is its pattern? Who is at risk? These are the questions that launched the New York City MDR-tuberculosis investigation, traced transmission chains through DNA fingerprinting, and projected the arc of the West African Ebola epidemic. This kind of surveillance makes threats visible so that interventions can begin.</w:t>
      </w:r>
    </w:p>
    <w:p w14:paraId="0AE58A54" w14:textId="77777777" w:rsidR="00DA13D8" w:rsidRDefault="00592A73">
      <w:pPr>
        <w:spacing w:after="160"/>
      </w:pPr>
      <w:r>
        <w:rPr>
          <w:b/>
          <w:bCs/>
          <w:sz w:val="24"/>
          <w:szCs w:val="24"/>
        </w:rPr>
        <w:t>Surveillance for program management</w:t>
      </w:r>
      <w:r>
        <w:rPr>
          <w:sz w:val="24"/>
          <w:szCs w:val="24"/>
        </w:rPr>
        <w:t xml:space="preserve"> asks a different question: Is the intervention working? Where is it succeeding? Where is it falling short? </w:t>
      </w:r>
    </w:p>
    <w:p w14:paraId="22F875BC" w14:textId="77777777" w:rsidR="00DA13D8" w:rsidRDefault="00592A73">
      <w:pPr>
        <w:spacing w:after="160"/>
      </w:pPr>
      <w:r>
        <w:rPr>
          <w:sz w:val="24"/>
          <w:szCs w:val="24"/>
        </w:rPr>
        <w:t>Private-sector organizations receive automatic feedback through markets: products that stop selling signal failure immediately. Public health programs lack this mechanism. A program can stop working without anyone noticing—if no one is systematically measuring whether it is still working. The solution is to build feedback loops into program design, not to assume that initial effectiveness will persist without monitoring.</w:t>
      </w:r>
    </w:p>
    <w:p w14:paraId="30C97022" w14:textId="77777777" w:rsidR="00DA13D8" w:rsidRDefault="00592A73">
      <w:pPr>
        <w:rPr>
          <w:b/>
          <w:bCs/>
          <w:smallCaps/>
          <w:color w:val="222222"/>
          <w:sz w:val="22"/>
          <w:szCs w:val="22"/>
        </w:rPr>
      </w:pPr>
      <w:r>
        <w:br w:type="page"/>
      </w:r>
    </w:p>
    <w:p w14:paraId="3ADFA317" w14:textId="77777777" w:rsidR="00DA13D8" w:rsidRDefault="00592A73">
      <w:pPr>
        <w:spacing w:before="280" w:after="100"/>
      </w:pPr>
      <w:r>
        <w:rPr>
          <w:b/>
          <w:bCs/>
          <w:smallCaps/>
          <w:color w:val="222222"/>
          <w:sz w:val="22"/>
          <w:szCs w:val="22"/>
        </w:rPr>
        <w:lastRenderedPageBreak/>
        <w:t>WHAT NEW YORK CITY DID</w:t>
      </w:r>
    </w:p>
    <w:p w14:paraId="308081EC" w14:textId="77777777" w:rsidR="00DA13D8" w:rsidRDefault="00592A73">
      <w:pPr>
        <w:spacing w:after="160"/>
      </w:pPr>
      <w:r>
        <w:rPr>
          <w:sz w:val="24"/>
          <w:szCs w:val="24"/>
        </w:rPr>
        <w:t>The New York City Community Health Survey was the instrument that detected the stall. That detection alerted the city to the need to change the program. But detection is only the first step. The city then ran hard-hitting campaigns and used the survey to document that these campaigns were working.</w:t>
      </w:r>
    </w:p>
    <w:p w14:paraId="4D050909" w14:textId="77777777" w:rsidR="00DA13D8" w:rsidRDefault="00592A73">
      <w:pPr>
        <w:spacing w:before="280" w:after="100"/>
      </w:pPr>
      <w:r>
        <w:rPr>
          <w:b/>
          <w:bCs/>
          <w:smallCaps/>
          <w:color w:val="222222"/>
          <w:sz w:val="22"/>
          <w:szCs w:val="22"/>
        </w:rPr>
        <w:t>DISCUSSION QUESTIONS</w:t>
      </w:r>
    </w:p>
    <w:p w14:paraId="553870FD" w14:textId="77777777" w:rsidR="00DA13D8" w:rsidRDefault="00592A73">
      <w:pPr>
        <w:spacing w:after="160"/>
      </w:pPr>
      <w:r>
        <w:rPr>
          <w:b/>
          <w:bCs/>
          <w:sz w:val="24"/>
          <w:szCs w:val="24"/>
        </w:rPr>
        <w:t>1.</w:t>
      </w:r>
      <w:r>
        <w:rPr>
          <w:sz w:val="24"/>
          <w:szCs w:val="24"/>
        </w:rPr>
        <w:t xml:space="preserve"> What is the difference between surveillance for disease detection and surveillance for program management? </w:t>
      </w:r>
    </w:p>
    <w:p w14:paraId="71538821" w14:textId="77777777" w:rsidR="00DA13D8" w:rsidRDefault="00592A73">
      <w:pPr>
        <w:spacing w:after="160"/>
      </w:pPr>
      <w:r>
        <w:rPr>
          <w:b/>
          <w:bCs/>
          <w:sz w:val="24"/>
          <w:szCs w:val="24"/>
        </w:rPr>
        <w:t xml:space="preserve">2. </w:t>
      </w:r>
      <w:r>
        <w:rPr>
          <w:sz w:val="24"/>
          <w:szCs w:val="24"/>
        </w:rPr>
        <w:t>What must be in place for a public health program to adjust based on performance?</w:t>
      </w:r>
    </w:p>
    <w:p w14:paraId="2C9A3B3F" w14:textId="77777777" w:rsidR="00DA13D8" w:rsidRDefault="00592A73">
      <w:pPr>
        <w:spacing w:before="280" w:after="100"/>
      </w:pPr>
      <w:r>
        <w:rPr>
          <w:b/>
          <w:bCs/>
          <w:smallCaps/>
          <w:color w:val="222222"/>
          <w:sz w:val="22"/>
          <w:szCs w:val="22"/>
        </w:rPr>
        <w:t>SMALL-GROUP DISCUSSION TOPICS</w:t>
      </w:r>
    </w:p>
    <w:p w14:paraId="33DFB0E3" w14:textId="77777777" w:rsidR="00DA13D8" w:rsidRDefault="00592A73">
      <w:pPr>
        <w:numPr>
          <w:ilvl w:val="0"/>
          <w:numId w:val="1"/>
        </w:numPr>
        <w:pBdr>
          <w:top w:val="nil"/>
          <w:left w:val="nil"/>
          <w:bottom w:val="nil"/>
          <w:right w:val="nil"/>
          <w:between w:val="nil"/>
        </w:pBdr>
        <w:spacing w:after="160"/>
        <w:rPr>
          <w:color w:val="000000"/>
          <w:sz w:val="24"/>
          <w:szCs w:val="24"/>
        </w:rPr>
      </w:pPr>
      <w:r>
        <w:rPr>
          <w:color w:val="000000"/>
          <w:sz w:val="24"/>
          <w:szCs w:val="24"/>
        </w:rPr>
        <w:t xml:space="preserve">1.  Design a program surveillance system for a public health intervention you know—a vaccination campaign, a hypertension control program, a school nutrition initiative. What outcomes would you measure? At what geographic or institutional level? How frequently? Who would receive the data, and what decisions would it be designed to trigger? </w:t>
      </w:r>
    </w:p>
    <w:p w14:paraId="2791B581" w14:textId="25075A33" w:rsidR="00DA13D8" w:rsidRDefault="00592A73">
      <w:pPr>
        <w:numPr>
          <w:ilvl w:val="0"/>
          <w:numId w:val="1"/>
        </w:numPr>
        <w:pBdr>
          <w:top w:val="nil"/>
          <w:left w:val="nil"/>
          <w:bottom w:val="nil"/>
          <w:right w:val="nil"/>
          <w:between w:val="nil"/>
        </w:pBdr>
        <w:spacing w:after="160"/>
      </w:pPr>
      <w:r w:rsidRPr="00CE00D4">
        <w:rPr>
          <w:color w:val="000000"/>
          <w:sz w:val="24"/>
          <w:szCs w:val="24"/>
        </w:rPr>
        <w:t>Hard-hitting ad campaigns work—but they are also criticized for stigmatizing people with addiction and disease. How should a public health department weigh the effectiveness of graphic imagery against the potential to shame the people it is trying to help? Is there a principled line, or is it purely empirical?</w:t>
      </w:r>
    </w:p>
    <w:p w14:paraId="1BECE2D1" w14:textId="77777777" w:rsidR="00DA13D8" w:rsidRDefault="00DA13D8">
      <w:pPr>
        <w:spacing w:after="160"/>
      </w:pPr>
    </w:p>
    <w:sectPr w:rsidR="00DA13D8">
      <w:footerReference w:type="default" r:id="rId8"/>
      <w:pgSz w:w="12240" w:h="15840"/>
      <w:pgMar w:top="720" w:right="1080" w:bottom="72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778363" w14:textId="77777777" w:rsidR="00592A73" w:rsidRDefault="00592A73">
      <w:r>
        <w:separator/>
      </w:r>
    </w:p>
  </w:endnote>
  <w:endnote w:type="continuationSeparator" w:id="0">
    <w:p w14:paraId="2B3AB2A1" w14:textId="77777777" w:rsidR="00592A73" w:rsidRDefault="00592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B995729-3E1B-5A43-81A6-85A71BF64465}"/>
    <w:embedBold r:id="rId2" w:fontKey="{8AB8FBB9-E1FD-6645-B1C3-7F04C0F1AB85}"/>
    <w:embedItalic r:id="rId3" w:fontKey="{DEBC053B-024E-624B-A249-42EDFBD96381}"/>
  </w:font>
  <w:font w:name="Georgia">
    <w:panose1 w:val="02040502050405020303"/>
    <w:charset w:val="00"/>
    <w:family w:val="roman"/>
    <w:pitch w:val="variable"/>
    <w:sig w:usb0="00000287" w:usb1="00000000" w:usb2="00000000" w:usb3="00000000" w:csb0="0000009F" w:csb1="00000000"/>
    <w:embedItalic r:id="rId4" w:fontKey="{352C842B-E7C3-E946-BD8E-5E220DE13ED2}"/>
  </w:font>
  <w:font w:name="Arial">
    <w:panose1 w:val="020B0604020202020204"/>
    <w:charset w:val="00"/>
    <w:family w:val="swiss"/>
    <w:pitch w:val="variable"/>
    <w:sig w:usb0="E0002EFF" w:usb1="C000785B" w:usb2="00000009" w:usb3="00000000" w:csb0="000001FF" w:csb1="00000000"/>
    <w:embedRegular r:id="rId5" w:fontKey="{C2465E70-0961-DA49-8E2A-157856D76C38}"/>
    <w:embedBold r:id="rId6" w:fontKey="{1EA2740A-0AC7-EA4C-8AFB-74F19B7976FA}"/>
  </w:font>
  <w:font w:name="Aptos Display">
    <w:panose1 w:val="020B0004020202020204"/>
    <w:charset w:val="00"/>
    <w:family w:val="swiss"/>
    <w:pitch w:val="variable"/>
    <w:sig w:usb0="20000287" w:usb1="00000003" w:usb2="00000000" w:usb3="00000000" w:csb0="0000019F" w:csb1="00000000"/>
    <w:embedRegular r:id="rId7" w:fontKey="{0769B72F-B4B3-1041-BC57-BC097CCC1CDB}"/>
  </w:font>
  <w:font w:name="Aptos">
    <w:panose1 w:val="020B0004020202020204"/>
    <w:charset w:val="00"/>
    <w:family w:val="swiss"/>
    <w:pitch w:val="variable"/>
    <w:sig w:usb0="20000287" w:usb1="00000003" w:usb2="00000000" w:usb3="00000000" w:csb0="0000019F" w:csb1="00000000"/>
    <w:embedRegular r:id="rId8" w:fontKey="{B27EA04C-82B9-684F-A343-8EE207BA47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3EE30" w14:textId="216B84B3" w:rsidR="00DA13D8" w:rsidRDefault="00592A73">
    <w:pPr>
      <w:jc w:val="center"/>
    </w:pPr>
    <w:r>
      <w:rPr>
        <w:color w:val="888888"/>
        <w:sz w:val="18"/>
        <w:szCs w:val="18"/>
      </w:rPr>
      <w:t xml:space="preserve">The Formula for Better </w:t>
    </w:r>
    <w:proofErr w:type="gramStart"/>
    <w:r>
      <w:rPr>
        <w:color w:val="888888"/>
        <w:sz w:val="18"/>
        <w:szCs w:val="18"/>
      </w:rPr>
      <w:t>Health  ·</w:t>
    </w:r>
    <w:proofErr w:type="gramEnd"/>
    <w:r>
      <w:rPr>
        <w:color w:val="888888"/>
        <w:sz w:val="18"/>
        <w:szCs w:val="18"/>
      </w:rPr>
      <w:t xml:space="preserve">  MIT Press, </w:t>
    </w:r>
    <w:proofErr w:type="gramStart"/>
    <w:r>
      <w:rPr>
        <w:color w:val="888888"/>
        <w:sz w:val="18"/>
        <w:szCs w:val="18"/>
      </w:rPr>
      <w:t>2025  ·</w:t>
    </w:r>
    <w:proofErr w:type="gramEnd"/>
    <w:r>
      <w:rPr>
        <w:color w:val="888888"/>
        <w:sz w:val="18"/>
        <w:szCs w:val="18"/>
      </w:rPr>
      <w:t xml:space="preserve">  </w:t>
    </w:r>
    <w:r w:rsidR="00CE00D4">
      <w:rPr>
        <w:color w:val="888888"/>
        <w:sz w:val="18"/>
        <w:szCs w:val="18"/>
      </w:rPr>
      <w:t>theformulaforbetterhealth.net/</w:t>
    </w:r>
    <w:proofErr w:type="spellStart"/>
    <w:r w:rsidR="00CE00D4">
      <w:rPr>
        <w:color w:val="888888"/>
        <w:sz w:val="18"/>
        <w:szCs w:val="18"/>
      </w:rPr>
      <w:t>formulateaching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1C3B3C" w14:textId="77777777" w:rsidR="00592A73" w:rsidRDefault="00592A73">
      <w:r>
        <w:separator/>
      </w:r>
    </w:p>
  </w:footnote>
  <w:footnote w:type="continuationSeparator" w:id="0">
    <w:p w14:paraId="75FA4C70" w14:textId="77777777" w:rsidR="00592A73" w:rsidRDefault="00592A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B677CF"/>
    <w:multiLevelType w:val="multilevel"/>
    <w:tmpl w:val="469AD8A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53173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13D8"/>
    <w:rsid w:val="00592A73"/>
    <w:rsid w:val="00957C8C"/>
    <w:rsid w:val="00CE00D4"/>
    <w:rsid w:val="00DA13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63367F8"/>
  <w15:docId w15:val="{D1C86734-A699-F646-90E6-F3DAB05B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0" w:type="dxa"/>
        <w:right w:w="10" w:type="dxa"/>
      </w:tblCellMar>
    </w:tblPr>
  </w:style>
  <w:style w:type="paragraph" w:styleId="Header">
    <w:name w:val="header"/>
    <w:basedOn w:val="Normal"/>
    <w:link w:val="HeaderChar"/>
    <w:uiPriority w:val="99"/>
    <w:unhideWhenUsed/>
    <w:rsid w:val="00CE00D4"/>
    <w:pPr>
      <w:tabs>
        <w:tab w:val="center" w:pos="4680"/>
        <w:tab w:val="right" w:pos="9360"/>
      </w:tabs>
    </w:pPr>
  </w:style>
  <w:style w:type="character" w:customStyle="1" w:styleId="HeaderChar">
    <w:name w:val="Header Char"/>
    <w:basedOn w:val="DefaultParagraphFont"/>
    <w:link w:val="Header"/>
    <w:uiPriority w:val="99"/>
    <w:rsid w:val="00CE00D4"/>
  </w:style>
  <w:style w:type="paragraph" w:styleId="Footer">
    <w:name w:val="footer"/>
    <w:basedOn w:val="Normal"/>
    <w:link w:val="FooterChar"/>
    <w:uiPriority w:val="99"/>
    <w:unhideWhenUsed/>
    <w:rsid w:val="00CE00D4"/>
    <w:pPr>
      <w:tabs>
        <w:tab w:val="center" w:pos="4680"/>
        <w:tab w:val="right" w:pos="9360"/>
      </w:tabs>
    </w:pPr>
  </w:style>
  <w:style w:type="character" w:customStyle="1" w:styleId="FooterChar">
    <w:name w:val="Footer Char"/>
    <w:basedOn w:val="DefaultParagraphFont"/>
    <w:link w:val="Footer"/>
    <w:uiPriority w:val="99"/>
    <w:rsid w:val="00CE00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6KSgFUjovjJLCu77H5Awsoi7Sw==">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</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C15719744DB93641A8403A60BF24F6D2" ma:contentTypeVersion="15" ma:contentTypeDescription="Create a new document." ma:contentTypeScope="" ma:versionID="5f36845b1f1627a778cdf16d10f379a3">
  <xsd:schema xmlns:xsd="http://www.w3.org/2001/XMLSchema" xmlns:xs="http://www.w3.org/2001/XMLSchema" xmlns:p="http://schemas.microsoft.com/office/2006/metadata/properties" xmlns:ns2="89c6c834-5500-4d34-8d4a-2e90563177f5" xmlns:ns3="8cc82467-8cb5-4206-ba7c-5e39ccabeebb" targetNamespace="http://schemas.microsoft.com/office/2006/metadata/properties" ma:root="true" ma:fieldsID="da4900190a686e0e4816f311ebe1f90b" ns2:_="" ns3:_="">
    <xsd:import namespace="89c6c834-5500-4d34-8d4a-2e90563177f5"/>
    <xsd:import namespace="8cc82467-8cb5-4206-ba7c-5e39ccabeeb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c6c834-5500-4d34-8d4a-2e90563177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2f55c54-333a-4ed3-a999-6f0836af511a"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82467-8cb5-4206-ba7c-5e39ccabee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9c6c834-5500-4d34-8d4a-2e90563177f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4821273-29EA-4D0E-BE38-8D32A625C378}"/>
</file>

<file path=customXml/itemProps3.xml><?xml version="1.0" encoding="utf-8"?>
<ds:datastoreItem xmlns:ds="http://schemas.openxmlformats.org/officeDocument/2006/customXml" ds:itemID="{F0660D76-E933-4F88-8299-96010D62688C}"/>
</file>

<file path=customXml/itemProps4.xml><?xml version="1.0" encoding="utf-8"?>
<ds:datastoreItem xmlns:ds="http://schemas.openxmlformats.org/officeDocument/2006/customXml" ds:itemID="{351E1649-1B12-4D56-9E19-B888024DCF57}"/>
</file>

<file path=docProps/app.xml><?xml version="1.0" encoding="utf-8"?>
<Properties xmlns="http://schemas.openxmlformats.org/officeDocument/2006/extended-properties" xmlns:vt="http://schemas.openxmlformats.org/officeDocument/2006/docPropsVTypes">
  <Template>Normal.dotm</Template>
  <TotalTime>0</TotalTime>
  <Pages>2</Pages>
  <Words>585</Words>
  <Characters>3312</Characters>
  <Application>Microsoft Office Word</Application>
  <DocSecurity>0</DocSecurity>
  <Lines>56</Lines>
  <Paragraphs>27</Paragraphs>
  <ScaleCrop>false</ScaleCrop>
  <Company/>
  <LinksUpToDate>false</LinksUpToDate>
  <CharactersWithSpaces>3870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Cecilia Crews</cp:lastModifiedBy>
  <cp:revision>2</cp:revision>
  <dcterms:created xsi:type="dcterms:W3CDTF">2026-03-16T20:23:00Z</dcterms:created>
  <dcterms:modified xsi:type="dcterms:W3CDTF">2026-03-16T20:23:00Z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2026-03-08T14:34:04Z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762de5b4-45da-4234-a5e1-ee3e978f8a57</vt:lpwstr>
  </property>
  <property fmtid="{D5CDD505-2E9C-101B-9397-08002B2CF9AE}" pid="7" name="MSIP_Label_defa4170-0d19-0005-0004-bc88714345d2_ActionId">
    <vt:lpwstr>0838870d-d723-49d8-8694-b34dac157311</vt:lpwstr>
  </property>
  <property fmtid="{D5CDD505-2E9C-101B-9397-08002B2CF9AE}" pid="8" name="MSIP_Label_defa4170-0d19-0005-0004-bc88714345d2_ContentBits">
    <vt:lpwstr>0</vt:lpwstr>
  </property>
  <property fmtid="{D5CDD505-2E9C-101B-9397-08002B2CF9AE}" pid="9" name="MSIP_Label_defa4170-0d19-0005-0004-bc88714345d2_Tag">
    <vt:lpwstr>50, 3, 0, 1</vt:lpwstr>
  </property>
  <property fmtid="{D5CDD505-2E9C-101B-9397-08002B2CF9AE}" pid="10" name="ContentTypeId">
    <vt:lpwstr>0x010100C15719744DB93641A8403A60BF24F6D2</vt:lpwstr>
  </property>
</Properties>
</file>