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3BEDE" w14:textId="77777777" w:rsidR="00B156F0" w:rsidRDefault="00B156F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500"/>
        <w:gridCol w:w="2860"/>
      </w:tblGrid>
      <w:tr w:rsidR="00B156F0" w14:paraId="3EEDEAA6" w14:textId="77777777">
        <w:tc>
          <w:tcPr>
            <w:tcW w:w="6500" w:type="dxa"/>
            <w:tcBorders>
              <w:top w:val="nil"/>
              <w:left w:val="nil"/>
              <w:bottom w:val="nil"/>
              <w:right w:val="nil"/>
            </w:tcBorders>
            <w:shd w:val="clear" w:color="auto" w:fill="008B8B"/>
            <w:tcMar>
              <w:top w:w="80" w:type="dxa"/>
              <w:left w:w="160" w:type="dxa"/>
              <w:bottom w:w="80" w:type="dxa"/>
              <w:right w:w="80" w:type="dxa"/>
            </w:tcMar>
          </w:tcPr>
          <w:p w14:paraId="417E0B63" w14:textId="77777777" w:rsidR="00B156F0" w:rsidRDefault="00EA031D">
            <w:r>
              <w:rPr>
                <w:rFonts w:ascii="Arial" w:eastAsia="Arial" w:hAnsi="Arial" w:cs="Arial"/>
                <w:b/>
                <w:bCs/>
                <w:color w:val="FFFFFF"/>
                <w:sz w:val="16"/>
                <w:szCs w:val="16"/>
              </w:rPr>
              <w:t>THE FORMULA FOR BETTER HEALTH  ·  CASE STUDY: SEE/BELIEVE/CREATE</w:t>
            </w:r>
          </w:p>
        </w:tc>
        <w:tc>
          <w:tcPr>
            <w:tcW w:w="2860" w:type="dxa"/>
            <w:tcBorders>
              <w:top w:val="nil"/>
              <w:left w:val="nil"/>
              <w:bottom w:val="nil"/>
              <w:right w:val="nil"/>
            </w:tcBorders>
            <w:shd w:val="clear" w:color="auto" w:fill="CCCCCC"/>
            <w:tcMar>
              <w:top w:w="80" w:type="dxa"/>
              <w:left w:w="80" w:type="dxa"/>
              <w:bottom w:w="80" w:type="dxa"/>
              <w:right w:w="160" w:type="dxa"/>
            </w:tcMar>
            <w:vAlign w:val="center"/>
          </w:tcPr>
          <w:p w14:paraId="1B87AC69" w14:textId="77777777" w:rsidR="00B156F0" w:rsidRDefault="00EA031D">
            <w:pPr>
              <w:jc w:val="center"/>
            </w:pPr>
            <w:r>
              <w:rPr>
                <w:rFonts w:ascii="Arial" w:eastAsia="Arial" w:hAnsi="Arial" w:cs="Arial"/>
                <w:b/>
                <w:bCs/>
                <w:color w:val="444444"/>
                <w:sz w:val="16"/>
                <w:szCs w:val="16"/>
              </w:rPr>
              <w:t>INSTRUCTOR GUIDE</w:t>
            </w:r>
          </w:p>
        </w:tc>
      </w:tr>
    </w:tbl>
    <w:p w14:paraId="484FA61D" w14:textId="77777777" w:rsidR="00B156F0" w:rsidRDefault="00EA031D">
      <w:pPr>
        <w:spacing w:before="200" w:after="60"/>
      </w:pPr>
      <w:r>
        <w:rPr>
          <w:b/>
          <w:bCs/>
          <w:sz w:val="36"/>
          <w:szCs w:val="36"/>
        </w:rPr>
        <w:t>Seeing the Stall: Tracking Systems and Course Correction in New York City—Instructor Guide</w:t>
      </w:r>
    </w:p>
    <w:p w14:paraId="32A48F23" w14:textId="77777777" w:rsidR="00B156F0" w:rsidRDefault="00B156F0">
      <w:pPr>
        <w:pBdr>
          <w:bottom w:val="single" w:sz="4" w:space="0" w:color="008B8B"/>
        </w:pBdr>
      </w:pPr>
    </w:p>
    <w:p w14:paraId="6E13FB11" w14:textId="77777777" w:rsidR="00B156F0" w:rsidRDefault="00EA031D">
      <w:pPr>
        <w:spacing w:before="280" w:after="100"/>
      </w:pPr>
      <w:r>
        <w:rPr>
          <w:b/>
          <w:bCs/>
          <w:smallCaps/>
          <w:color w:val="222222"/>
          <w:sz w:val="22"/>
          <w:szCs w:val="22"/>
        </w:rPr>
        <w:t>PURPOSE</w:t>
      </w:r>
    </w:p>
    <w:p w14:paraId="0F93B4B6" w14:textId="60E91B0E" w:rsidR="00B156F0" w:rsidRDefault="00EA031D">
      <w:pPr>
        <w:spacing w:after="160"/>
      </w:pPr>
      <w:r>
        <w:rPr>
          <w:sz w:val="24"/>
          <w:szCs w:val="24"/>
        </w:rPr>
        <w:t>This guide supports teaching of the NYC smoking stall. The case illustrates the fundamental difference between surveillance that detects disease and surveillance that manages programs—and why that difference has direct operational and equity consequences. The central lesson: a program that stops working will continue to consume resources invisibly unless the program itself includes a feedback mechanism designed to detect and respond to failure. The case connects Chapter 1’s surveillance framework to the operational reality of program management at scale.</w:t>
      </w:r>
    </w:p>
    <w:p w14:paraId="3088756C" w14:textId="77777777" w:rsidR="00B156F0" w:rsidRDefault="00EA031D">
      <w:pPr>
        <w:spacing w:before="280" w:after="100"/>
      </w:pPr>
      <w:r>
        <w:rPr>
          <w:b/>
          <w:bCs/>
          <w:smallCaps/>
          <w:color w:val="222222"/>
          <w:sz w:val="22"/>
          <w:szCs w:val="22"/>
        </w:rPr>
        <w:t>COURSE FIT AND SUGGESTED USE</w:t>
      </w:r>
    </w:p>
    <w:p w14:paraId="7E0D78C3" w14:textId="77777777" w:rsidR="00B156F0" w:rsidRDefault="00EA031D">
      <w:pPr>
        <w:spacing w:after="160"/>
      </w:pPr>
      <w:r>
        <w:rPr>
          <w:b/>
          <w:bCs/>
          <w:sz w:val="24"/>
          <w:szCs w:val="24"/>
        </w:rPr>
        <w:t>Best fit:</w:t>
      </w:r>
      <w:r>
        <w:rPr>
          <w:sz w:val="24"/>
          <w:szCs w:val="24"/>
        </w:rPr>
        <w:t xml:space="preserve"> public health practice, epidemiology, public health surveillance, program management, or health equity courses.</w:t>
      </w:r>
    </w:p>
    <w:p w14:paraId="65DECA72" w14:textId="77777777" w:rsidR="00B156F0" w:rsidRDefault="00EA031D">
      <w:pPr>
        <w:spacing w:after="160"/>
      </w:pPr>
      <w:r>
        <w:rPr>
          <w:b/>
          <w:bCs/>
          <w:sz w:val="24"/>
          <w:szCs w:val="24"/>
        </w:rPr>
        <w:t>Level:</w:t>
      </w:r>
      <w:r>
        <w:rPr>
          <w:sz w:val="24"/>
          <w:szCs w:val="24"/>
        </w:rPr>
        <w:t xml:space="preserve"> upper-level undergraduate or graduate.</w:t>
      </w:r>
    </w:p>
    <w:p w14:paraId="2F097020" w14:textId="77777777" w:rsidR="00B156F0" w:rsidRDefault="00EA031D">
      <w:pPr>
        <w:spacing w:after="160"/>
      </w:pPr>
      <w:r>
        <w:rPr>
          <w:b/>
          <w:bCs/>
          <w:sz w:val="24"/>
          <w:szCs w:val="24"/>
        </w:rPr>
        <w:t>Time:</w:t>
      </w:r>
      <w:r>
        <w:rPr>
          <w:sz w:val="24"/>
          <w:szCs w:val="24"/>
        </w:rPr>
        <w:t xml:space="preserve"> one 60-minute session. Can extend to 90 minutes with small-group system design.</w:t>
      </w:r>
    </w:p>
    <w:p w14:paraId="181F4701" w14:textId="77777777" w:rsidR="00B156F0" w:rsidRDefault="00EA031D">
      <w:pPr>
        <w:spacing w:after="160"/>
      </w:pPr>
      <w:r>
        <w:rPr>
          <w:b/>
          <w:bCs/>
          <w:sz w:val="24"/>
          <w:szCs w:val="24"/>
        </w:rPr>
        <w:t>Placement:</w:t>
      </w:r>
      <w:r>
        <w:rPr>
          <w:sz w:val="24"/>
          <w:szCs w:val="24"/>
        </w:rPr>
        <w:t xml:space="preserve"> works best after students have read Chapter 1 of </w:t>
      </w:r>
      <w:r>
        <w:rPr>
          <w:i/>
          <w:iCs/>
          <w:sz w:val="24"/>
          <w:szCs w:val="24"/>
        </w:rPr>
        <w:t>The Formula for Better Health</w:t>
      </w:r>
      <w:r>
        <w:rPr>
          <w:sz w:val="24"/>
          <w:szCs w:val="24"/>
        </w:rPr>
        <w:t xml:space="preserve"> and have been introduced to public health surveillance as a concept.</w:t>
      </w:r>
    </w:p>
    <w:p w14:paraId="02F3C0DE" w14:textId="77777777" w:rsidR="00B156F0" w:rsidRDefault="00EA031D">
      <w:pPr>
        <w:spacing w:before="280" w:after="100"/>
      </w:pPr>
      <w:r>
        <w:rPr>
          <w:b/>
          <w:bCs/>
          <w:smallCaps/>
          <w:color w:val="222222"/>
          <w:sz w:val="22"/>
          <w:szCs w:val="22"/>
        </w:rPr>
        <w:t>LEARNING OBJECTIVES</w:t>
      </w:r>
    </w:p>
    <w:p w14:paraId="5C3AAD68" w14:textId="77777777" w:rsidR="00B156F0" w:rsidRDefault="00EA031D">
      <w:pPr>
        <w:spacing w:after="160"/>
      </w:pPr>
      <w:r>
        <w:rPr>
          <w:sz w:val="24"/>
          <w:szCs w:val="24"/>
        </w:rPr>
        <w:t>By the end of the session, students should be able to:</w:t>
      </w:r>
    </w:p>
    <w:p w14:paraId="521B67CB" w14:textId="77777777" w:rsidR="00B156F0" w:rsidRDefault="00EA031D">
      <w:pPr>
        <w:spacing w:before="40" w:after="80"/>
        <w:ind w:left="360" w:hanging="280"/>
      </w:pPr>
      <w:r>
        <w:rPr>
          <w:sz w:val="24"/>
          <w:szCs w:val="24"/>
        </w:rPr>
        <w:t>• Distinguish between surveillance for disease detection and surveillance for program management and explain the operational requirements of each.</w:t>
      </w:r>
    </w:p>
    <w:p w14:paraId="0069AEA4" w14:textId="77777777" w:rsidR="00B156F0" w:rsidRDefault="00EA031D">
      <w:pPr>
        <w:spacing w:before="40" w:after="80"/>
        <w:ind w:left="360" w:hanging="280"/>
      </w:pPr>
      <w:r>
        <w:rPr>
          <w:sz w:val="24"/>
          <w:szCs w:val="24"/>
        </w:rPr>
        <w:t>• Explain why aggregate data can mask neighborhood-level failure and what level of data granularity is required for effective program management.</w:t>
      </w:r>
    </w:p>
    <w:p w14:paraId="715D7F86" w14:textId="77777777" w:rsidR="00B156F0" w:rsidRDefault="00EA031D">
      <w:pPr>
        <w:spacing w:before="40" w:after="80"/>
        <w:ind w:left="360" w:hanging="280"/>
      </w:pPr>
      <w:r>
        <w:rPr>
          <w:sz w:val="24"/>
          <w:szCs w:val="24"/>
        </w:rPr>
        <w:t>• Describe how a feedback loop—measurement, detection of gap, intervention, remeasurement—functions as a management tool.</w:t>
      </w:r>
    </w:p>
    <w:p w14:paraId="2AF22F7E" w14:textId="77777777" w:rsidR="00B156F0" w:rsidRDefault="00EA031D">
      <w:pPr>
        <w:spacing w:before="40" w:after="80"/>
        <w:ind w:left="360" w:hanging="280"/>
      </w:pPr>
      <w:r>
        <w:rPr>
          <w:sz w:val="24"/>
          <w:szCs w:val="24"/>
        </w:rPr>
        <w:t>• Design a surveillance component for a public health program that would function as a management tool rather than a reporting tool.</w:t>
      </w:r>
    </w:p>
    <w:p w14:paraId="2814C792" w14:textId="77777777" w:rsidR="00B156F0" w:rsidRDefault="00EA031D">
      <w:pPr>
        <w:spacing w:before="280" w:after="100"/>
      </w:pPr>
      <w:r>
        <w:rPr>
          <w:b/>
          <w:bCs/>
          <w:smallCaps/>
          <w:color w:val="222222"/>
          <w:sz w:val="22"/>
          <w:szCs w:val="22"/>
        </w:rPr>
        <w:t>SESSION STRUCTURE (60 MINUTES)</w:t>
      </w:r>
    </w:p>
    <w:p w14:paraId="4038FADD" w14:textId="77777777" w:rsidR="00B156F0" w:rsidRDefault="00EA031D">
      <w:pPr>
        <w:spacing w:after="160"/>
      </w:pPr>
      <w:r>
        <w:rPr>
          <w:b/>
          <w:bCs/>
          <w:sz w:val="24"/>
          <w:szCs w:val="24"/>
        </w:rPr>
        <w:t>0–5 min</w:t>
      </w:r>
      <w:r>
        <w:rPr>
          <w:sz w:val="24"/>
          <w:szCs w:val="24"/>
        </w:rPr>
        <w:t xml:space="preserve"> — Opening: ask two students to read their preparation question responses. Note the variety of answers without adjudicating.</w:t>
      </w:r>
    </w:p>
    <w:p w14:paraId="64FCCD6B" w14:textId="77777777" w:rsidR="00B156F0" w:rsidRDefault="00EA031D">
      <w:pPr>
        <w:spacing w:after="160"/>
      </w:pPr>
      <w:r>
        <w:rPr>
          <w:b/>
          <w:bCs/>
          <w:sz w:val="24"/>
          <w:szCs w:val="24"/>
        </w:rPr>
        <w:t>5–15 min</w:t>
      </w:r>
      <w:r>
        <w:rPr>
          <w:sz w:val="24"/>
          <w:szCs w:val="24"/>
        </w:rPr>
        <w:t xml:space="preserve"> — Brief lecture: the two kinds of surveillance, the feedback loop concept, and what the NYC health department did.</w:t>
      </w:r>
    </w:p>
    <w:p w14:paraId="5161799B" w14:textId="77777777" w:rsidR="00B156F0" w:rsidRDefault="00EA031D">
      <w:pPr>
        <w:spacing w:after="160"/>
      </w:pPr>
      <w:r>
        <w:rPr>
          <w:b/>
          <w:bCs/>
          <w:sz w:val="24"/>
          <w:szCs w:val="24"/>
        </w:rPr>
        <w:t>15–35 min</w:t>
      </w:r>
      <w:r>
        <w:rPr>
          <w:sz w:val="24"/>
          <w:szCs w:val="24"/>
        </w:rPr>
        <w:t xml:space="preserve"> — Full-class discussion on the two discussion questions.</w:t>
      </w:r>
    </w:p>
    <w:p w14:paraId="23831331" w14:textId="77777777" w:rsidR="00B156F0" w:rsidRDefault="00EA031D">
      <w:pPr>
        <w:spacing w:after="160"/>
        <w:rPr>
          <w:sz w:val="24"/>
          <w:szCs w:val="24"/>
        </w:rPr>
      </w:pPr>
      <w:r>
        <w:rPr>
          <w:b/>
          <w:bCs/>
          <w:sz w:val="24"/>
          <w:szCs w:val="24"/>
        </w:rPr>
        <w:t>35–55 min</w:t>
      </w:r>
      <w:r>
        <w:rPr>
          <w:sz w:val="24"/>
          <w:szCs w:val="24"/>
        </w:rPr>
        <w:t xml:space="preserve"> — Small-group surveillance system design.</w:t>
      </w:r>
    </w:p>
    <w:p w14:paraId="1D44175F" w14:textId="58416523" w:rsidR="00F109E0" w:rsidRPr="00F109E0" w:rsidRDefault="00F109E0" w:rsidP="00F109E0">
      <w:pPr>
        <w:tabs>
          <w:tab w:val="left" w:pos="6797"/>
        </w:tabs>
      </w:pPr>
      <w:r>
        <w:tab/>
      </w:r>
    </w:p>
    <w:p w14:paraId="7683F725" w14:textId="77777777" w:rsidR="00B156F0" w:rsidRDefault="00EA031D">
      <w:pPr>
        <w:spacing w:after="160"/>
      </w:pPr>
      <w:r>
        <w:rPr>
          <w:b/>
          <w:bCs/>
          <w:sz w:val="24"/>
          <w:szCs w:val="24"/>
        </w:rPr>
        <w:t>55–60 min</w:t>
      </w:r>
      <w:r>
        <w:rPr>
          <w:sz w:val="24"/>
          <w:szCs w:val="24"/>
        </w:rPr>
        <w:t xml:space="preserve"> — Synthesis: what makes data a management tool?</w:t>
      </w:r>
    </w:p>
    <w:p w14:paraId="3FAD370F" w14:textId="77777777" w:rsidR="00B156F0" w:rsidRDefault="00EA031D">
      <w:pPr>
        <w:spacing w:before="200" w:after="80"/>
      </w:pPr>
      <w:r>
        <w:rPr>
          <w:b/>
          <w:bCs/>
          <w:sz w:val="24"/>
          <w:szCs w:val="24"/>
        </w:rPr>
        <w:lastRenderedPageBreak/>
        <w:t>Opening (0–5 min)</w:t>
      </w:r>
    </w:p>
    <w:p w14:paraId="73261496" w14:textId="77777777" w:rsidR="00B156F0" w:rsidRDefault="00EA031D">
      <w:pPr>
        <w:spacing w:after="160"/>
      </w:pPr>
      <w:r>
        <w:rPr>
          <w:sz w:val="24"/>
          <w:szCs w:val="24"/>
        </w:rPr>
        <w:t>Ask two or three students to read their preparation question responses. The goal is to surface the assumption that measuring outcomes is the same as managing performance—and to challenge it with the specific question: who receives this data, at what level of granularity, and what operational decision does it trigger? A system that reports aggregate trends annually to policymakers is fundamentally different from one that reports neighborhood-level service uptake weekly to program managers.</w:t>
      </w:r>
    </w:p>
    <w:p w14:paraId="16F0AC0A" w14:textId="77777777" w:rsidR="00B156F0" w:rsidRDefault="00EA031D">
      <w:pPr>
        <w:spacing w:before="200" w:after="80"/>
      </w:pPr>
      <w:r>
        <w:rPr>
          <w:b/>
          <w:bCs/>
          <w:sz w:val="24"/>
          <w:szCs w:val="24"/>
        </w:rPr>
        <w:t>Brief Lecture: Two Kinds of Surveillance (5–15 min)</w:t>
      </w:r>
    </w:p>
    <w:p w14:paraId="2A04C48A" w14:textId="77777777" w:rsidR="00B156F0" w:rsidRDefault="00EA031D">
      <w:pPr>
        <w:spacing w:after="160"/>
      </w:pPr>
      <w:r>
        <w:rPr>
          <w:sz w:val="24"/>
          <w:szCs w:val="24"/>
        </w:rPr>
        <w:t>Cover these points concisely. Students have read the handout; this is framing, not repetition.</w:t>
      </w:r>
    </w:p>
    <w:p w14:paraId="13F4B1DC" w14:textId="77777777" w:rsidR="00B156F0" w:rsidRDefault="00EA031D">
      <w:pPr>
        <w:spacing w:before="40" w:after="80"/>
        <w:ind w:left="360" w:hanging="280"/>
      </w:pPr>
      <w:r>
        <w:rPr>
          <w:sz w:val="24"/>
          <w:szCs w:val="24"/>
        </w:rPr>
        <w:t>• </w:t>
      </w:r>
      <w:r>
        <w:rPr>
          <w:b/>
          <w:bCs/>
          <w:sz w:val="24"/>
          <w:szCs w:val="24"/>
        </w:rPr>
        <w:t>Detection vs. management:</w:t>
      </w:r>
      <w:r>
        <w:rPr>
          <w:sz w:val="24"/>
          <w:szCs w:val="24"/>
        </w:rPr>
        <w:t xml:space="preserve"> Disease surveillance answers ‘Where is the problem?’ Program surveillance answers ‘Is the intervention working, and where is it falling short?’ The first is a precondition for the second. NYC had strong disease surveillance that showed smoking was falling. It needed program surveillance to show that the fall had stalled and why.</w:t>
      </w:r>
    </w:p>
    <w:p w14:paraId="2D580297" w14:textId="77777777" w:rsidR="00B156F0" w:rsidRDefault="00EA031D">
      <w:pPr>
        <w:spacing w:before="40" w:after="80"/>
        <w:ind w:left="360" w:hanging="280"/>
      </w:pPr>
      <w:r>
        <w:rPr>
          <w:sz w:val="24"/>
          <w:szCs w:val="24"/>
        </w:rPr>
        <w:t>• </w:t>
      </w:r>
      <w:r>
        <w:rPr>
          <w:b/>
          <w:bCs/>
          <w:sz w:val="24"/>
          <w:szCs w:val="24"/>
        </w:rPr>
        <w:t>The market analogy:</w:t>
      </w:r>
      <w:r>
        <w:rPr>
          <w:sz w:val="24"/>
          <w:szCs w:val="24"/>
        </w:rPr>
        <w:t xml:space="preserve"> Private-sector organizations get real-time feedback through sales data. Programs that don’t sell stop immediately. Public health programs lack this mechanism. Without built-in feedback loops, a program can fail without anyone knowing—indefinitely. Building the feedback loop is not optional; it is the mechanism that makes course correction possible.</w:t>
      </w:r>
    </w:p>
    <w:p w14:paraId="24682124" w14:textId="3C679772" w:rsidR="00B156F0" w:rsidRDefault="00EA031D">
      <w:pPr>
        <w:spacing w:before="40" w:after="80"/>
        <w:ind w:left="360" w:hanging="280"/>
      </w:pPr>
      <w:r>
        <w:rPr>
          <w:sz w:val="24"/>
          <w:szCs w:val="24"/>
        </w:rPr>
        <w:t>• </w:t>
      </w:r>
      <w:r>
        <w:rPr>
          <w:b/>
          <w:bCs/>
          <w:sz w:val="24"/>
          <w:szCs w:val="24"/>
        </w:rPr>
        <w:t>The feedback loop i</w:t>
      </w:r>
      <w:r w:rsidRPr="00F109E0">
        <w:rPr>
          <w:b/>
          <w:bCs/>
          <w:sz w:val="24"/>
          <w:szCs w:val="24"/>
        </w:rPr>
        <w:t>n NYC:</w:t>
      </w:r>
      <w:r w:rsidRPr="00F109E0">
        <w:rPr>
          <w:rFonts w:eastAsia="Cardo"/>
          <w:sz w:val="24"/>
          <w:szCs w:val="24"/>
        </w:rPr>
        <w:t xml:space="preserve"> Community Health Survey → detected the stall and located it by neighborhood. </w:t>
      </w:r>
      <w:r w:rsidRPr="00F109E0">
        <w:rPr>
          <w:sz w:val="24"/>
          <w:szCs w:val="24"/>
        </w:rPr>
        <w:t>Data was matched</w:t>
      </w:r>
      <w:r w:rsidRPr="00F109E0">
        <w:rPr>
          <w:rFonts w:eastAsia="Cardo"/>
          <w:sz w:val="24"/>
          <w:szCs w:val="24"/>
        </w:rPr>
        <w:t xml:space="preserve"> against program reach → revealed that standard campaigns weren’t breaking through in lower-income neighborhoods. Redirected outreach, including hard-hitting campaigns with graphic depictions of tobacco’s consequences, targeted those gaps. Continued annual monitoring → confirmed whether the redirect was working. Each step closed the loop.</w:t>
      </w:r>
    </w:p>
    <w:p w14:paraId="49CC2417" w14:textId="77777777" w:rsidR="00B156F0" w:rsidRDefault="00EA031D">
      <w:pPr>
        <w:spacing w:after="160"/>
      </w:pPr>
      <w:r>
        <w:rPr>
          <w:sz w:val="24"/>
          <w:szCs w:val="24"/>
        </w:rPr>
        <w:t xml:space="preserve">Core framing: </w:t>
      </w:r>
      <w:r>
        <w:rPr>
          <w:b/>
          <w:bCs/>
          <w:sz w:val="24"/>
          <w:szCs w:val="24"/>
        </w:rPr>
        <w:t>Data is a management tool only when it is designed to change operational decisions in real time.</w:t>
      </w:r>
      <w:r>
        <w:rPr>
          <w:sz w:val="24"/>
          <w:szCs w:val="24"/>
        </w:rPr>
        <w:t xml:space="preserve"> The question to ask of any data system is: What specific decision does this data trigger, and who makes it?</w:t>
      </w:r>
    </w:p>
    <w:p w14:paraId="3791612B" w14:textId="77777777" w:rsidR="00B156F0" w:rsidRDefault="00EA031D">
      <w:pPr>
        <w:spacing w:before="280" w:after="100"/>
      </w:pPr>
      <w:r>
        <w:rPr>
          <w:b/>
          <w:bCs/>
          <w:smallCaps/>
          <w:color w:val="222222"/>
          <w:sz w:val="22"/>
          <w:szCs w:val="22"/>
        </w:rPr>
        <w:t>DISCUSSION QUESTION GUIDANCE</w:t>
      </w:r>
    </w:p>
    <w:p w14:paraId="5F498E27" w14:textId="77777777" w:rsidR="00B156F0" w:rsidRDefault="00EA031D">
      <w:pPr>
        <w:spacing w:after="200"/>
      </w:pPr>
      <w:r>
        <w:rPr>
          <w:i/>
          <w:iCs/>
          <w:sz w:val="24"/>
          <w:szCs w:val="24"/>
        </w:rPr>
        <w:t>Preparation question (repeated from handout): New York City launched aggressive tobacco control programs in 2003 and smoking rates fell sharply. Then they stalled. Using the surveillance concepts from Chapter 1, explain the difference between surveillance that detects disease and surveillance that manages programs. How would each type of system respond to a stall?</w:t>
      </w:r>
    </w:p>
    <w:p w14:paraId="23DF5EB6" w14:textId="77777777" w:rsidR="00B156F0" w:rsidRDefault="00EA031D">
      <w:pPr>
        <w:spacing w:before="200" w:after="80"/>
      </w:pPr>
      <w:r>
        <w:rPr>
          <w:b/>
          <w:bCs/>
          <w:sz w:val="24"/>
          <w:szCs w:val="24"/>
        </w:rPr>
        <w:t>Question 1 — Two Kinds of Surveillance</w:t>
      </w:r>
    </w:p>
    <w:p w14:paraId="4B413F36" w14:textId="77777777" w:rsidR="00B156F0" w:rsidRDefault="00EA031D">
      <w:pPr>
        <w:spacing w:after="200"/>
      </w:pPr>
      <w:r>
        <w:rPr>
          <w:i/>
          <w:iCs/>
          <w:sz w:val="24"/>
          <w:szCs w:val="24"/>
        </w:rPr>
        <w:t>Discussion question: What is the difference between surveillance for disease detection and surveillance for program management? Why does the distinction matter, and what does each type of system require to be effective?</w:t>
      </w:r>
    </w:p>
    <w:p w14:paraId="2122E551" w14:textId="77777777" w:rsidR="00B156F0" w:rsidRDefault="00EA031D">
      <w:pPr>
        <w:spacing w:after="160"/>
      </w:pPr>
      <w:r>
        <w:rPr>
          <w:sz w:val="24"/>
          <w:szCs w:val="24"/>
        </w:rPr>
        <w:t>Students will typically conflate the two. Detection surveillance requires sensitivity (catch real threats) and timeliness (fast enough to intervene). Management surveillance requires granularity (neighborhood or facility level, not just citywide), frequency (fast enough to redirect resources before further harm), and connection to decision-makers (the person who receives the data must be able to change something based on it).</w:t>
      </w:r>
    </w:p>
    <w:p w14:paraId="52C42114" w14:textId="77777777" w:rsidR="00B156F0" w:rsidRDefault="00EA031D">
      <w:pPr>
        <w:spacing w:after="160"/>
      </w:pPr>
      <w:r>
        <w:rPr>
          <w:sz w:val="24"/>
          <w:szCs w:val="24"/>
        </w:rPr>
        <w:t>Key question for discussion: If you design a surveillance system that detects a problem but reports it to someone who cannot act on it, is it a management tool? What does ‘to those who need to know’ in Chapter 1’s definition actually require?</w:t>
      </w:r>
    </w:p>
    <w:p w14:paraId="4935CF23" w14:textId="77777777" w:rsidR="00B156F0" w:rsidRDefault="00EA031D">
      <w:pPr>
        <w:spacing w:after="160"/>
      </w:pPr>
      <w:r>
        <w:rPr>
          <w:sz w:val="24"/>
          <w:szCs w:val="24"/>
        </w:rPr>
        <w:t xml:space="preserve">Push also on design: what did the NYC Community Health Survey need to be designed to do that a standard annual health report could not do? It needed neighborhood-level granularity. It needed </w:t>
      </w:r>
      <w:r>
        <w:rPr>
          <w:sz w:val="24"/>
          <w:szCs w:val="24"/>
        </w:rPr>
        <w:lastRenderedPageBreak/>
        <w:t>consistent methodology across years to detect trend changes. It needed to be analyzed quickly and reported to program managers, not just posted in an annual statistics volume.</w:t>
      </w:r>
    </w:p>
    <w:p w14:paraId="30584782" w14:textId="77777777" w:rsidR="00B156F0" w:rsidRDefault="00EA031D">
      <w:pPr>
        <w:spacing w:before="200" w:after="80"/>
      </w:pPr>
      <w:r>
        <w:rPr>
          <w:b/>
          <w:bCs/>
          <w:sz w:val="24"/>
          <w:szCs w:val="24"/>
        </w:rPr>
        <w:t>Question 2 — What Must Be In Place</w:t>
      </w:r>
    </w:p>
    <w:p w14:paraId="45BC1F3E" w14:textId="77777777" w:rsidR="00B156F0" w:rsidRDefault="00EA031D">
      <w:pPr>
        <w:spacing w:after="200"/>
      </w:pPr>
      <w:r>
        <w:rPr>
          <w:i/>
          <w:iCs/>
          <w:sz w:val="24"/>
          <w:szCs w:val="24"/>
        </w:rPr>
        <w:t>Discussion question: What must be in place for a public health program to adjust based on performance?</w:t>
      </w:r>
    </w:p>
    <w:p w14:paraId="5D075F45" w14:textId="77777777" w:rsidR="00B156F0" w:rsidRDefault="00EA031D">
      <w:pPr>
        <w:spacing w:after="160"/>
      </w:pPr>
      <w:r>
        <w:rPr>
          <w:sz w:val="24"/>
          <w:szCs w:val="24"/>
        </w:rPr>
        <w:t xml:space="preserve">Three conditions are required. The first is an </w:t>
      </w:r>
      <w:r>
        <w:rPr>
          <w:b/>
          <w:bCs/>
          <w:sz w:val="24"/>
          <w:szCs w:val="24"/>
        </w:rPr>
        <w:t>information system</w:t>
      </w:r>
      <w:r>
        <w:rPr>
          <w:sz w:val="24"/>
          <w:szCs w:val="24"/>
        </w:rPr>
        <w:t>: surveillance granular enough, frequent enough, and connected to the right decision-makers to detect that a program is failing. The NYC Community Health Survey provided this—neighborhood-level smoking rates, tracked annually, reported to program managers who could act.</w:t>
      </w:r>
    </w:p>
    <w:p w14:paraId="7EDEBA6C" w14:textId="77777777" w:rsidR="00B156F0" w:rsidRDefault="00EA031D">
      <w:pPr>
        <w:spacing w:after="160"/>
      </w:pPr>
      <w:r>
        <w:rPr>
          <w:sz w:val="24"/>
          <w:szCs w:val="24"/>
        </w:rPr>
        <w:t xml:space="preserve">The second is </w:t>
      </w:r>
      <w:r>
        <w:rPr>
          <w:b/>
          <w:bCs/>
          <w:sz w:val="24"/>
          <w:szCs w:val="24"/>
        </w:rPr>
        <w:t>willingness to admit something isn’t working and to change course</w:t>
      </w:r>
      <w:r>
        <w:rPr>
          <w:sz w:val="24"/>
          <w:szCs w:val="24"/>
        </w:rPr>
        <w:t>. Programs have institutional inertia. The people who designed them have professional investment in their success. NYC’s willingness to conclude that standard campaigns weren’t sufficient in certain neighborhoods—and to respond with more aggressive, hard-hitting campaigns—required leadership willing to name failure and change strategy.</w:t>
      </w:r>
    </w:p>
    <w:p w14:paraId="41A2B1B4" w14:textId="77777777" w:rsidR="00B156F0" w:rsidRDefault="00EA031D">
      <w:pPr>
        <w:spacing w:after="160"/>
      </w:pPr>
      <w:r>
        <w:rPr>
          <w:sz w:val="24"/>
          <w:szCs w:val="24"/>
        </w:rPr>
        <w:t xml:space="preserve">The third is </w:t>
      </w:r>
      <w:r>
        <w:rPr>
          <w:b/>
          <w:bCs/>
          <w:sz w:val="24"/>
          <w:szCs w:val="24"/>
        </w:rPr>
        <w:t>financial and human resources to implement the correction</w:t>
      </w:r>
      <w:r>
        <w:rPr>
          <w:sz w:val="24"/>
          <w:szCs w:val="24"/>
        </w:rPr>
        <w:t>. Detecting a stall and being willing to respond means nothing without the capacity to redirect outreach workers, produce new campaign materials, and sustain the change long enough to measure its effect.</w:t>
      </w:r>
    </w:p>
    <w:p w14:paraId="19881298" w14:textId="77777777" w:rsidR="00B156F0" w:rsidRDefault="00EA031D">
      <w:pPr>
        <w:spacing w:after="160"/>
      </w:pPr>
      <w:r>
        <w:rPr>
          <w:sz w:val="24"/>
          <w:szCs w:val="24"/>
        </w:rPr>
        <w:t>Key question for discussion: Ask students which of the three conditions is most often absent in programs they know. Most will identify the information system. Push them to consider whether willingness to change is also underappreciated—data that reveals failure is threatening, and programs often suppress or ignore unfavorable findings rather than act on them.</w:t>
      </w:r>
    </w:p>
    <w:p w14:paraId="143E20A5" w14:textId="77777777" w:rsidR="00B156F0" w:rsidRDefault="00EA031D">
      <w:pPr>
        <w:spacing w:before="280" w:after="100"/>
      </w:pPr>
      <w:r>
        <w:rPr>
          <w:b/>
          <w:bCs/>
          <w:smallCaps/>
          <w:color w:val="222222"/>
          <w:sz w:val="22"/>
          <w:szCs w:val="22"/>
        </w:rPr>
        <w:t>SMALL-GROUP DISCUSSION GUIDANCE</w:t>
      </w:r>
    </w:p>
    <w:p w14:paraId="2E772219" w14:textId="77777777" w:rsidR="00B156F0" w:rsidRDefault="00EA031D">
      <w:pPr>
        <w:spacing w:before="200" w:after="80"/>
      </w:pPr>
      <w:r>
        <w:rPr>
          <w:b/>
          <w:bCs/>
          <w:sz w:val="24"/>
          <w:szCs w:val="24"/>
        </w:rPr>
        <w:t>Design a Program Surveillance System</w:t>
      </w:r>
    </w:p>
    <w:p w14:paraId="2B63EFDA" w14:textId="77777777" w:rsidR="00B156F0" w:rsidRDefault="00EA031D">
      <w:pPr>
        <w:spacing w:after="200"/>
      </w:pPr>
      <w:r>
        <w:rPr>
          <w:i/>
          <w:iCs/>
          <w:sz w:val="24"/>
          <w:szCs w:val="24"/>
        </w:rPr>
        <w:t>Discussion scenario: Design a surveillance system for a public health intervention you know—a vaccination campaign, a hypertension control program, a school nutrition initiative. What outcomes would you measure? At what level of geographic or institutional disaggregation? How frequently? Who would receive the data, and what operational decision would it be designed to trigger?</w:t>
      </w:r>
    </w:p>
    <w:p w14:paraId="33F53EB6" w14:textId="77777777" w:rsidR="00B156F0" w:rsidRDefault="00EA031D">
      <w:pPr>
        <w:spacing w:after="160"/>
      </w:pPr>
      <w:r>
        <w:rPr>
          <w:sz w:val="24"/>
          <w:szCs w:val="24"/>
        </w:rPr>
        <w:t>Push students past listing indicators toward specifying the decision-making chain. For each indicator: who receives it, with what frequency, and what would they change based on it? A surveillance system that cannot specify the operational decision it triggers is a reporting tool, not a management tool.</w:t>
      </w:r>
    </w:p>
    <w:p w14:paraId="62738EA7" w14:textId="77777777" w:rsidR="00B156F0" w:rsidRDefault="00EA031D">
      <w:pPr>
        <w:spacing w:after="160"/>
      </w:pPr>
      <w:r>
        <w:rPr>
          <w:sz w:val="24"/>
          <w:szCs w:val="24"/>
        </w:rPr>
        <w:t>Encourage students to ask the ‘anti-granularity’ question: what level of disaggregation is the minimum needed to identify a gap that is actionable? Sub-national aggregate data might reveal a regional problem; facility-level data might reveal a specific clinic failing while others succeed. The right level is determined by the level at which interventions can be redirected—not by what is easiest to measure.</w:t>
      </w:r>
    </w:p>
    <w:p w14:paraId="063481E6" w14:textId="77777777" w:rsidR="00B156F0" w:rsidRDefault="00EA031D">
      <w:pPr>
        <w:spacing w:before="200" w:after="80"/>
      </w:pPr>
      <w:r>
        <w:rPr>
          <w:b/>
          <w:bCs/>
          <w:sz w:val="24"/>
          <w:szCs w:val="24"/>
        </w:rPr>
        <w:t>Hard-Hitting Campaigns and Public Health Ethics</w:t>
      </w:r>
    </w:p>
    <w:p w14:paraId="2768173E" w14:textId="77777777" w:rsidR="00B156F0" w:rsidRDefault="00EA031D">
      <w:pPr>
        <w:spacing w:after="200"/>
      </w:pPr>
      <w:r>
        <w:rPr>
          <w:i/>
          <w:iCs/>
          <w:sz w:val="24"/>
          <w:szCs w:val="24"/>
        </w:rPr>
        <w:t>Discussion scenario: Hard-hitting ad campaigns—depicting amputations, laryngectomies, strokes—were central to breaking through the stall in lower-income neighborhoods. These campaigns are effective. They are also criticized for stigmatizing people with addiction and disease. How should a public health department weigh effectiveness against potential harm to the populations it is trying to help?</w:t>
      </w:r>
    </w:p>
    <w:p w14:paraId="5F507253" w14:textId="77777777" w:rsidR="00B156F0" w:rsidRDefault="00EA031D">
      <w:pPr>
        <w:spacing w:after="160"/>
      </w:pPr>
      <w:r>
        <w:rPr>
          <w:sz w:val="24"/>
          <w:szCs w:val="24"/>
        </w:rPr>
        <w:t xml:space="preserve">Push students past the reflex answer (‘balance them’) toward operational choices. What evidence would change the calculus? If hard-hitting campaigns are more effective for lower-income populations—the same populations that bear the highest burden of tobacco-related disease—does the stigma concern carry </w:t>
      </w:r>
      <w:r>
        <w:rPr>
          <w:sz w:val="24"/>
          <w:szCs w:val="24"/>
        </w:rPr>
        <w:lastRenderedPageBreak/>
        <w:t>more or less weight? Who is harmed by the stigma, and is it the same population harmed by under-reaching?</w:t>
      </w:r>
    </w:p>
    <w:p w14:paraId="2C3EBAF6" w14:textId="77777777" w:rsidR="00B156F0" w:rsidRDefault="00EA031D">
      <w:pPr>
        <w:spacing w:after="160"/>
      </w:pPr>
      <w:r>
        <w:rPr>
          <w:sz w:val="24"/>
          <w:szCs w:val="24"/>
        </w:rPr>
        <w:t>Key distinction: stigma attached to a behavior is different from stigma attached to a person. Campaigns that depict the physical consequences of tobacco use attach consequences to smoking, not to smokers. Ask students whether that distinction holds in practice, and what design choices would preserve or violate it.</w:t>
      </w:r>
    </w:p>
    <w:p w14:paraId="7D973CEA" w14:textId="77777777" w:rsidR="00B156F0" w:rsidRDefault="00EA031D">
      <w:pPr>
        <w:spacing w:before="240"/>
      </w:pPr>
      <w:r>
        <w:br w:type="page"/>
      </w:r>
    </w:p>
    <w:p w14:paraId="2E08DD23" w14:textId="77777777" w:rsidR="00B156F0" w:rsidRDefault="00EA031D">
      <w:pPr>
        <w:spacing w:before="280" w:after="100"/>
      </w:pPr>
      <w:r>
        <w:rPr>
          <w:b/>
          <w:bCs/>
          <w:smallCaps/>
          <w:color w:val="222222"/>
          <w:sz w:val="22"/>
          <w:szCs w:val="22"/>
        </w:rPr>
        <w:lastRenderedPageBreak/>
        <w:t>POST-CLASS SYNTHESIS</w:t>
      </w:r>
    </w:p>
    <w:p w14:paraId="2518526C" w14:textId="77777777" w:rsidR="00B156F0" w:rsidRDefault="00EA031D">
      <w:pPr>
        <w:spacing w:after="200"/>
      </w:pPr>
      <w:r>
        <w:rPr>
          <w:i/>
          <w:iCs/>
          <w:sz w:val="24"/>
          <w:szCs w:val="24"/>
        </w:rPr>
        <w:t>Distribute to students after the session.</w:t>
      </w:r>
    </w:p>
    <w:p w14:paraId="1E2F1E56" w14:textId="77777777" w:rsidR="00F109E0" w:rsidRDefault="00F109E0" w:rsidP="00F109E0"/>
    <w:p w14:paraId="47D662EB" w14:textId="77777777" w:rsidR="00545794" w:rsidRDefault="00545794">
      <w:pPr>
        <w:rPr>
          <w:b/>
          <w:bCs/>
          <w:sz w:val="28"/>
          <w:szCs w:val="28"/>
        </w:rPr>
      </w:pPr>
      <w:r>
        <w:rPr>
          <w:b/>
          <w:bCs/>
          <w:sz w:val="28"/>
          <w:szCs w:val="28"/>
        </w:rPr>
        <w:br w:type="page"/>
      </w:r>
    </w:p>
    <w:p w14:paraId="01616D75" w14:textId="234FCF74" w:rsidR="00B156F0" w:rsidRPr="00F109E0" w:rsidRDefault="00EA031D" w:rsidP="00F109E0">
      <w:pPr>
        <w:rPr>
          <w:b/>
          <w:bCs/>
          <w:sz w:val="28"/>
          <w:szCs w:val="28"/>
        </w:rPr>
      </w:pPr>
      <w:r>
        <w:rPr>
          <w:b/>
          <w:bCs/>
          <w:sz w:val="28"/>
          <w:szCs w:val="28"/>
        </w:rPr>
        <w:lastRenderedPageBreak/>
        <w:t>Lessons from the NYC Smoking Stall</w:t>
      </w:r>
    </w:p>
    <w:p w14:paraId="11B0CA6B" w14:textId="77777777" w:rsidR="00B156F0" w:rsidRDefault="00B156F0">
      <w:pPr>
        <w:pBdr>
          <w:bottom w:val="single" w:sz="4" w:space="0" w:color="008B8B"/>
        </w:pBdr>
      </w:pPr>
    </w:p>
    <w:p w14:paraId="46522517" w14:textId="77777777" w:rsidR="00B156F0" w:rsidRDefault="00B156F0">
      <w:pPr>
        <w:spacing w:before="160"/>
      </w:pPr>
    </w:p>
    <w:p w14:paraId="5865CDDD" w14:textId="77777777" w:rsidR="00B156F0" w:rsidRDefault="00EA031D">
      <w:pPr>
        <w:spacing w:before="80" w:after="80"/>
        <w:ind w:left="360" w:hanging="360"/>
      </w:pPr>
      <w:r>
        <w:rPr>
          <w:sz w:val="24"/>
          <w:szCs w:val="24"/>
        </w:rPr>
        <w:t>• </w:t>
      </w:r>
      <w:r>
        <w:rPr>
          <w:b/>
          <w:bCs/>
          <w:sz w:val="24"/>
          <w:szCs w:val="24"/>
        </w:rPr>
        <w:t>Data for management is different from data for reporting.</w:t>
      </w:r>
      <w:r>
        <w:rPr>
          <w:sz w:val="24"/>
          <w:szCs w:val="24"/>
        </w:rPr>
        <w:t xml:space="preserve"> A surveillance system that reports outcomes to policymakers once a year is a documentation tool. A surveillance system that delivers disaggregated, near-real-time data to program managers who can change specific operations is a management tool. The difference is not in the data—it is in who receives it, at what granularity, with what frequency, and what operational decision it is designed to trigger.</w:t>
      </w:r>
    </w:p>
    <w:p w14:paraId="54978C19" w14:textId="77777777" w:rsidR="00B156F0" w:rsidRDefault="00EA031D">
      <w:pPr>
        <w:spacing w:before="80" w:after="80"/>
        <w:ind w:left="360" w:hanging="360"/>
      </w:pPr>
      <w:r>
        <w:rPr>
          <w:sz w:val="24"/>
          <w:szCs w:val="24"/>
        </w:rPr>
        <w:t>• </w:t>
      </w:r>
      <w:r>
        <w:rPr>
          <w:b/>
          <w:bCs/>
          <w:sz w:val="24"/>
          <w:szCs w:val="24"/>
        </w:rPr>
        <w:t>Programs that stop working become invisible without feedback loops.</w:t>
      </w:r>
      <w:r>
        <w:rPr>
          <w:sz w:val="24"/>
          <w:szCs w:val="24"/>
        </w:rPr>
        <w:t xml:space="preserve"> Without a designed feedback mechanism, a program can fail in specific populations indefinitely while appearing successful in aggregate. The NYC smoking stall was visible only because the Community Health Survey was designed to detect neighborhood-level variation. Programs without that granularity would have shown continuing citywide improvement while specific communities were left behind.</w:t>
      </w:r>
    </w:p>
    <w:p w14:paraId="54E67BBD" w14:textId="77777777" w:rsidR="00B156F0" w:rsidRDefault="00EA031D">
      <w:pPr>
        <w:spacing w:before="80" w:after="80"/>
        <w:ind w:left="360" w:hanging="360"/>
      </w:pPr>
      <w:r>
        <w:rPr>
          <w:sz w:val="24"/>
          <w:szCs w:val="24"/>
        </w:rPr>
        <w:t>• </w:t>
      </w:r>
      <w:r>
        <w:rPr>
          <w:b/>
          <w:bCs/>
          <w:sz w:val="24"/>
          <w:szCs w:val="24"/>
        </w:rPr>
        <w:t>Aggregate success can mask persistent inequity.</w:t>
      </w:r>
      <w:r>
        <w:rPr>
          <w:sz w:val="24"/>
          <w:szCs w:val="24"/>
        </w:rPr>
        <w:t xml:space="preserve"> The initial tobacco control success was real—but it was concentrated in populations that mass-media campaigns reached effectively. The populations not reached were predominantly lower-income, with different access to information, cessation services, and social support. A program that measures only average improvement implicitly defines success as average improvement, which allows the most disadvantaged populations to be overlooked systematically.</w:t>
      </w:r>
    </w:p>
    <w:p w14:paraId="2925E7A4" w14:textId="77777777" w:rsidR="00B156F0" w:rsidRDefault="00EA031D">
      <w:pPr>
        <w:spacing w:before="80" w:after="80"/>
        <w:ind w:left="360" w:hanging="360"/>
      </w:pPr>
      <w:r>
        <w:rPr>
          <w:sz w:val="24"/>
          <w:szCs w:val="24"/>
        </w:rPr>
        <w:t>• </w:t>
      </w:r>
      <w:r>
        <w:rPr>
          <w:b/>
          <w:bCs/>
          <w:sz w:val="24"/>
          <w:szCs w:val="24"/>
        </w:rPr>
        <w:t>Course correction requires three conditions.</w:t>
      </w:r>
      <w:r>
        <w:rPr>
          <w:sz w:val="24"/>
          <w:szCs w:val="24"/>
        </w:rPr>
        <w:t xml:space="preserve"> Detecting that a program is failing is necessary but not sufficient. The program must also have leadership willing to acknowledge failure and change course, and the financial and human resources to implement a different approach. NYC had all three: surveillance that detected the stall, leadership willing to resume hard-hitting campaigns and redirect outreach to specific neighborhoods, and the capacity to sustain that change long enough to confirm it was working. Any one condition alone is not sufficient.</w:t>
      </w:r>
    </w:p>
    <w:p w14:paraId="2E343A39" w14:textId="77777777" w:rsidR="00B156F0" w:rsidRDefault="00EA031D">
      <w:pPr>
        <w:spacing w:before="80" w:after="80"/>
        <w:ind w:left="360" w:hanging="360"/>
      </w:pPr>
      <w:r>
        <w:rPr>
          <w:sz w:val="24"/>
          <w:szCs w:val="24"/>
        </w:rPr>
        <w:t>• </w:t>
      </w:r>
      <w:r>
        <w:rPr>
          <w:b/>
          <w:bCs/>
          <w:sz w:val="24"/>
          <w:szCs w:val="24"/>
        </w:rPr>
        <w:t>The definition of surveillance requires ‘to those who need to know.’ Chapter 1’s definition of surveillance ends with ‘dissemination to those who need to know.’ The operational requirement is that the data reach someone who can act on it.</w:t>
      </w:r>
      <w:r>
        <w:rPr>
          <w:sz w:val="24"/>
          <w:szCs w:val="24"/>
        </w:rPr>
        <w:t xml:space="preserve"> Data flowing only upward to policymakers fulfills a documentation function. Data flowing to the program manager who can redirect outreach workers on a weekly basis fulfills a management function. Building that flow into program design is as important as building the measurement system itself.</w:t>
      </w:r>
    </w:p>
    <w:sectPr w:rsidR="00B156F0">
      <w:footerReference w:type="default" r:id="rId10"/>
      <w:pgSz w:w="12240" w:h="15840"/>
      <w:pgMar w:top="720" w:right="1080" w:bottom="72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B72CB" w14:textId="77777777" w:rsidR="006A3160" w:rsidRDefault="006A3160">
      <w:r>
        <w:separator/>
      </w:r>
    </w:p>
  </w:endnote>
  <w:endnote w:type="continuationSeparator" w:id="0">
    <w:p w14:paraId="04982DE9" w14:textId="77777777" w:rsidR="006A3160" w:rsidRDefault="006A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5CEEB7-369D-D542-BB2E-A16BFA307AB1}"/>
    <w:embedBold r:id="rId2" w:fontKey="{C93B2C66-10CA-8C4F-88FE-9F804DAD8407}"/>
    <w:embedItalic r:id="rId3" w:fontKey="{A56CF7E8-EF74-C545-91E1-D6DEEE0642B3}"/>
  </w:font>
  <w:font w:name="Georgia">
    <w:panose1 w:val="02040502050405020303"/>
    <w:charset w:val="00"/>
    <w:family w:val="roman"/>
    <w:pitch w:val="variable"/>
    <w:sig w:usb0="00000287" w:usb1="00000000" w:usb2="00000000" w:usb3="00000000" w:csb0="0000009F" w:csb1="00000000"/>
    <w:embedItalic r:id="rId4" w:fontKey="{E3B5C38A-98B2-F340-BE1F-9D80FED8D328}"/>
  </w:font>
  <w:font w:name="Arial">
    <w:panose1 w:val="020B0604020202020204"/>
    <w:charset w:val="00"/>
    <w:family w:val="swiss"/>
    <w:pitch w:val="variable"/>
    <w:sig w:usb0="E0002EFF" w:usb1="C000785B" w:usb2="00000009" w:usb3="00000000" w:csb0="000001FF" w:csb1="00000000"/>
    <w:embedRegular r:id="rId5" w:fontKey="{DD70D672-3645-8A43-8E64-B2BEEBF6F232}"/>
    <w:embedBold r:id="rId6" w:fontKey="{8581AFF1-C29D-B94F-9D00-D802A5B47059}"/>
  </w:font>
  <w:font w:name="Cardo">
    <w:charset w:val="00"/>
    <w:family w:val="auto"/>
    <w:pitch w:val="default"/>
    <w:embedRegular r:id="rId7" w:fontKey="{6251A61A-3B47-5F4B-9037-3940C63F0312}"/>
  </w:font>
  <w:font w:name="Aptos Display">
    <w:panose1 w:val="020B0004020202020204"/>
    <w:charset w:val="00"/>
    <w:family w:val="swiss"/>
    <w:pitch w:val="variable"/>
    <w:sig w:usb0="20000287" w:usb1="00000003" w:usb2="00000000" w:usb3="00000000" w:csb0="0000019F" w:csb1="00000000"/>
    <w:embedRegular r:id="rId8" w:fontKey="{88E4DA3C-3B6F-0B44-940C-781878F1AF7D}"/>
  </w:font>
  <w:font w:name="Aptos">
    <w:panose1 w:val="020B0004020202020204"/>
    <w:charset w:val="00"/>
    <w:family w:val="swiss"/>
    <w:pitch w:val="variable"/>
    <w:sig w:usb0="20000287" w:usb1="00000003" w:usb2="00000000" w:usb3="00000000" w:csb0="0000019F" w:csb1="00000000"/>
    <w:embedRegular r:id="rId9" w:fontKey="{9D3503DF-E449-8444-BE94-68BFFC061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CC9F2" w14:textId="13DBED68" w:rsidR="00F109E0" w:rsidRPr="00F109E0" w:rsidRDefault="00EA031D" w:rsidP="00F109E0">
    <w:pPr>
      <w:jc w:val="center"/>
      <w:rPr>
        <w:color w:val="888888"/>
        <w:sz w:val="18"/>
        <w:szCs w:val="18"/>
      </w:rPr>
    </w:pPr>
    <w:r>
      <w:rPr>
        <w:color w:val="888888"/>
        <w:sz w:val="18"/>
        <w:szCs w:val="18"/>
      </w:rPr>
      <w:t xml:space="preserve">The Formula for Better Health  ·  MIT Press, 2025  ·  </w:t>
    </w:r>
    <w:r w:rsidR="00F109E0">
      <w:rPr>
        <w:color w:val="888888"/>
        <w:sz w:val="18"/>
        <w:szCs w:val="18"/>
      </w:rPr>
      <w:t>theformulaforbetterhealth.net/</w:t>
    </w:r>
    <w:r w:rsidR="00F109E0">
      <w:rPr>
        <w:color w:val="888888"/>
        <w:sz w:val="18"/>
        <w:szCs w:val="18"/>
      </w:rPr>
      <w:t>formulateaching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4F4B1" w14:textId="77777777" w:rsidR="006A3160" w:rsidRDefault="006A3160">
      <w:r>
        <w:separator/>
      </w:r>
    </w:p>
  </w:footnote>
  <w:footnote w:type="continuationSeparator" w:id="0">
    <w:p w14:paraId="29F36A8D" w14:textId="77777777" w:rsidR="006A3160" w:rsidRDefault="006A31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6F0"/>
    <w:rsid w:val="00490CD3"/>
    <w:rsid w:val="00545794"/>
    <w:rsid w:val="006A3160"/>
    <w:rsid w:val="00957C8C"/>
    <w:rsid w:val="00B156F0"/>
    <w:rsid w:val="00B466FB"/>
    <w:rsid w:val="00EA031D"/>
    <w:rsid w:val="00F10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373E18"/>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F109E0"/>
    <w:pPr>
      <w:tabs>
        <w:tab w:val="center" w:pos="4680"/>
        <w:tab w:val="right" w:pos="9360"/>
      </w:tabs>
    </w:pPr>
  </w:style>
  <w:style w:type="character" w:customStyle="1" w:styleId="HeaderChar">
    <w:name w:val="Header Char"/>
    <w:basedOn w:val="DefaultParagraphFont"/>
    <w:link w:val="Header"/>
    <w:uiPriority w:val="99"/>
    <w:rsid w:val="00F109E0"/>
  </w:style>
  <w:style w:type="paragraph" w:styleId="Footer">
    <w:name w:val="footer"/>
    <w:basedOn w:val="Normal"/>
    <w:link w:val="FooterChar"/>
    <w:uiPriority w:val="99"/>
    <w:unhideWhenUsed/>
    <w:rsid w:val="00F109E0"/>
    <w:pPr>
      <w:tabs>
        <w:tab w:val="center" w:pos="4680"/>
        <w:tab w:val="right" w:pos="9360"/>
      </w:tabs>
    </w:pPr>
  </w:style>
  <w:style w:type="character" w:customStyle="1" w:styleId="FooterChar">
    <w:name w:val="Footer Char"/>
    <w:basedOn w:val="DefaultParagraphFont"/>
    <w:link w:val="Footer"/>
    <w:uiPriority w:val="99"/>
    <w:rsid w:val="00F10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VFbTFci7DN3ZkPr6IF6oFM0gA==">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CCEBA6-A8C4-4B77-B1F9-445125BC68C7}">
  <ds:schemaRefs>
    <ds:schemaRef ds:uri="http://schemas.microsoft.com/sharepoint/v3/contenttype/forms"/>
  </ds:schemaRefs>
</ds:datastoreItem>
</file>

<file path=customXml/itemProps3.xml><?xml version="1.0" encoding="utf-8"?>
<ds:datastoreItem xmlns:ds="http://schemas.openxmlformats.org/officeDocument/2006/customXml" ds:itemID="{F2C6E418-83B3-400B-B5BD-8E8668BFB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D2DFEC-630B-4CF7-83A0-A0B70D267DE2}">
  <ds:schemaRefs>
    <ds:schemaRef ds:uri="http://schemas.microsoft.com/office/2006/metadata/properties"/>
    <ds:schemaRef ds:uri="http://schemas.microsoft.com/office/infopath/2007/PartnerControls"/>
    <ds:schemaRef ds:uri="89c6c834-5500-4d34-8d4a-2e90563177f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1831</Words>
  <Characters>10697</Characters>
  <Application>Microsoft Office Word</Application>
  <DocSecurity>0</DocSecurity>
  <Lines>167</Lines>
  <Paragraphs>69</Paragraphs>
  <ScaleCrop>false</ScaleCrop>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Tom Frieden</cp:lastModifiedBy>
  <cp:revision>4</cp:revision>
  <dcterms:created xsi:type="dcterms:W3CDTF">2026-03-16T20:22:00Z</dcterms:created>
  <dcterms:modified xsi:type="dcterms:W3CDTF">2026-03-16T21:19:00Z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2026-03-08T15:22:30Z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50090eca-d09d-4f75-931f-e74a036b74a8</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ies>
</file>