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1CA46" w14:textId="77777777" w:rsidR="00434832" w:rsidRDefault="0043483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00"/>
        <w:gridCol w:w="2860"/>
      </w:tblGrid>
      <w:tr w:rsidR="00434832" w14:paraId="5D1E74F8" w14:textId="77777777">
        <w:tc>
          <w:tcPr>
            <w:tcW w:w="6500" w:type="dxa"/>
            <w:tcBorders>
              <w:top w:val="nil"/>
              <w:left w:val="nil"/>
              <w:bottom w:val="nil"/>
              <w:right w:val="nil"/>
            </w:tcBorders>
            <w:shd w:val="clear" w:color="auto" w:fill="008B8B"/>
            <w:tcMar>
              <w:top w:w="80" w:type="dxa"/>
              <w:left w:w="160" w:type="dxa"/>
              <w:bottom w:w="80" w:type="dxa"/>
              <w:right w:w="80" w:type="dxa"/>
            </w:tcMar>
          </w:tcPr>
          <w:p w14:paraId="2AA9D1FF" w14:textId="77777777" w:rsidR="00434832" w:rsidRDefault="00A27E6A">
            <w:r>
              <w:rPr>
                <w:rFonts w:ascii="Arial" w:eastAsia="Arial" w:hAnsi="Arial" w:cs="Arial"/>
                <w:b/>
                <w:bCs/>
                <w:color w:val="FFFFFF"/>
                <w:sz w:val="16"/>
                <w:szCs w:val="16"/>
              </w:rPr>
              <w:t xml:space="preserve">THE FORMULA FOR BETTER </w:t>
            </w:r>
            <w:proofErr w:type="gramStart"/>
            <w:r>
              <w:rPr>
                <w:rFonts w:ascii="Arial" w:eastAsia="Arial" w:hAnsi="Arial" w:cs="Arial"/>
                <w:b/>
                <w:bCs/>
                <w:color w:val="FFFFFF"/>
                <w:sz w:val="16"/>
                <w:szCs w:val="16"/>
              </w:rPr>
              <w:t>HEALTH  ·</w:t>
            </w:r>
            <w:proofErr w:type="gramEnd"/>
            <w:r>
              <w:rPr>
                <w:rFonts w:ascii="Arial" w:eastAsia="Arial" w:hAnsi="Arial" w:cs="Arial"/>
                <w:b/>
                <w:bCs/>
                <w:color w:val="FFFFFF"/>
                <w:sz w:val="16"/>
                <w:szCs w:val="16"/>
              </w:rPr>
              <w:t xml:space="preserve">  CASE STUDY: SEE/BELIEVE/CREATE</w:t>
            </w:r>
          </w:p>
        </w:tc>
        <w:tc>
          <w:tcPr>
            <w:tcW w:w="2860" w:type="dxa"/>
            <w:tcBorders>
              <w:top w:val="nil"/>
              <w:left w:val="nil"/>
              <w:bottom w:val="nil"/>
              <w:right w:val="nil"/>
            </w:tcBorders>
            <w:shd w:val="clear" w:color="auto" w:fill="CCCCCC"/>
            <w:tcMar>
              <w:top w:w="80" w:type="dxa"/>
              <w:left w:w="80" w:type="dxa"/>
              <w:bottom w:w="80" w:type="dxa"/>
              <w:right w:w="160" w:type="dxa"/>
            </w:tcMar>
            <w:vAlign w:val="center"/>
          </w:tcPr>
          <w:p w14:paraId="4FE9F30F" w14:textId="77777777" w:rsidR="00434832" w:rsidRDefault="00A27E6A">
            <w:pPr>
              <w:jc w:val="center"/>
            </w:pPr>
            <w:r>
              <w:rPr>
                <w:rFonts w:ascii="Arial" w:eastAsia="Arial" w:hAnsi="Arial" w:cs="Arial"/>
                <w:b/>
                <w:bCs/>
                <w:color w:val="444444"/>
                <w:sz w:val="16"/>
                <w:szCs w:val="16"/>
              </w:rPr>
              <w:t>INSTRUCTOR GUIDE</w:t>
            </w:r>
          </w:p>
        </w:tc>
      </w:tr>
    </w:tbl>
    <w:p w14:paraId="747A24DC" w14:textId="77777777" w:rsidR="00434832" w:rsidRDefault="00A27E6A">
      <w:pPr>
        <w:spacing w:before="200" w:after="60"/>
      </w:pPr>
      <w:r>
        <w:rPr>
          <w:b/>
          <w:bCs/>
          <w:sz w:val="36"/>
          <w:szCs w:val="36"/>
        </w:rPr>
        <w:t>Smallpox Eradication: Instructor Guide</w:t>
      </w:r>
    </w:p>
    <w:p w14:paraId="0CE4F2CD" w14:textId="77777777" w:rsidR="00434832" w:rsidRDefault="00434832">
      <w:pPr>
        <w:pBdr>
          <w:bottom w:val="single" w:sz="4" w:space="0" w:color="008B8B"/>
        </w:pBdr>
      </w:pPr>
    </w:p>
    <w:p w14:paraId="46436515" w14:textId="77777777" w:rsidR="00434832" w:rsidRPr="0006418B" w:rsidRDefault="00A27E6A">
      <w:pPr>
        <w:spacing w:before="280" w:after="100"/>
        <w:rPr>
          <w:sz w:val="24"/>
          <w:szCs w:val="24"/>
        </w:rPr>
      </w:pPr>
      <w:r w:rsidRPr="0006418B">
        <w:rPr>
          <w:b/>
          <w:bCs/>
          <w:smallCaps/>
          <w:color w:val="222222"/>
          <w:sz w:val="24"/>
          <w:szCs w:val="24"/>
        </w:rPr>
        <w:t>SESSION OVERVIEW</w:t>
      </w:r>
    </w:p>
    <w:p w14:paraId="671372C6" w14:textId="77777777" w:rsidR="00107EEA" w:rsidRPr="00107EEA" w:rsidRDefault="00107EEA" w:rsidP="00107EEA">
      <w:pPr>
        <w:spacing w:after="160"/>
        <w:rPr>
          <w:sz w:val="24"/>
          <w:szCs w:val="24"/>
        </w:rPr>
      </w:pPr>
      <w:r w:rsidRPr="00107EEA">
        <w:rPr>
          <w:sz w:val="24"/>
          <w:szCs w:val="24"/>
        </w:rPr>
        <w:t>The Smallpox Eradication case study applies all three elements of the See/Believe/Create framework in a single narrative. Through the story of how a global coalition eliminated humanity’s deadliest disease, students encounter each component of the formula: surveillance that made invisible transmission chains visible (See); leadership that sustained belief when success seemed impossible (Believe); and operational systems—simple tools, delegated authority, community engagement, and international cooperation—that turned strategy into action at global scale (Create). The case also introduces the concept of eradication as the ultimate in equity and sustainability: for everyone and forever.</w:t>
      </w:r>
    </w:p>
    <w:p w14:paraId="7027057F" w14:textId="77777777" w:rsidR="00107EEA" w:rsidRPr="00107EEA" w:rsidRDefault="00107EEA" w:rsidP="00107EEA">
      <w:pPr>
        <w:spacing w:after="160"/>
        <w:rPr>
          <w:sz w:val="24"/>
          <w:szCs w:val="24"/>
        </w:rPr>
      </w:pPr>
      <w:r w:rsidRPr="00107EEA">
        <w:rPr>
          <w:sz w:val="24"/>
          <w:szCs w:val="24"/>
        </w:rPr>
        <w:t>This case study draws primarily on chapters 3, 4, and 5 of The Formula for Better Health and on Foege’s memoir House on Fire. It works as a standalone 60-minute session or as a capstone that integrates concepts from earlier chapters.</w:t>
      </w:r>
    </w:p>
    <w:tbl>
      <w:tblPr>
        <w:tblStyle w:val="a"/>
        <w:tblW w:w="10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7"/>
      </w:tblGrid>
      <w:tr w:rsidR="00107EEA" w14:paraId="4C2A33D7" w14:textId="77777777" w:rsidTr="00107EEA">
        <w:trPr>
          <w:trHeight w:val="735"/>
        </w:trPr>
        <w:tc>
          <w:tcPr>
            <w:tcW w:w="10047" w:type="dxa"/>
            <w:tcBorders>
              <w:top w:val="single" w:sz="4" w:space="0" w:color="CCCCCC"/>
              <w:left w:val="single" w:sz="4" w:space="0" w:color="CCCCCC"/>
              <w:bottom w:val="single" w:sz="4" w:space="0" w:color="CCCCCC"/>
              <w:right w:val="single" w:sz="4" w:space="0" w:color="CCCCCC"/>
            </w:tcBorders>
            <w:shd w:val="clear" w:color="auto" w:fill="E8F0FE"/>
            <w:tcMar>
              <w:top w:w="120" w:type="dxa"/>
              <w:left w:w="200" w:type="dxa"/>
              <w:bottom w:w="120" w:type="dxa"/>
              <w:right w:w="200" w:type="dxa"/>
            </w:tcMar>
          </w:tcPr>
          <w:p w14:paraId="240AC4BC" w14:textId="77777777" w:rsidR="00107EEA" w:rsidRDefault="00107EEA" w:rsidP="00041B74">
            <w:r>
              <w:rPr>
                <w:b/>
                <w:bCs/>
              </w:rPr>
              <w:t xml:space="preserve">Related materials: </w:t>
            </w:r>
            <w:r>
              <w:t>Smallpox Student Handout; Smallpox Test Bank; Smallpox Answer Key; Smallpox Instructor Slides. This case study connects to Chapter 1 (surveillance), Chapter 3 (technical packages), Chapter 4 (communication and belief), and Chapter 5 (management and strategy).</w:t>
            </w:r>
          </w:p>
        </w:tc>
      </w:tr>
    </w:tbl>
    <w:p w14:paraId="34E18754" w14:textId="77777777" w:rsidR="00D56768" w:rsidRPr="0006418B" w:rsidRDefault="00D56768" w:rsidP="00D56768">
      <w:pPr>
        <w:spacing w:before="280" w:after="100"/>
        <w:rPr>
          <w:b/>
          <w:bCs/>
          <w:smallCaps/>
          <w:color w:val="222222"/>
          <w:sz w:val="24"/>
          <w:szCs w:val="24"/>
        </w:rPr>
      </w:pPr>
      <w:r w:rsidRPr="0006418B">
        <w:rPr>
          <w:b/>
          <w:bCs/>
          <w:smallCaps/>
          <w:color w:val="222222"/>
          <w:sz w:val="24"/>
          <w:szCs w:val="24"/>
        </w:rPr>
        <w:t>Learning Objectives</w:t>
      </w:r>
    </w:p>
    <w:p w14:paraId="4B1172BD" w14:textId="77777777" w:rsidR="00D56768" w:rsidRPr="00D56768" w:rsidRDefault="00D56768" w:rsidP="00D56768">
      <w:pPr>
        <w:spacing w:after="160"/>
        <w:rPr>
          <w:sz w:val="24"/>
          <w:szCs w:val="24"/>
        </w:rPr>
      </w:pPr>
      <w:r w:rsidRPr="00D56768">
        <w:rPr>
          <w:sz w:val="24"/>
          <w:szCs w:val="24"/>
        </w:rPr>
        <w:t>By the end of this session, students should be able to:</w:t>
      </w:r>
    </w:p>
    <w:p w14:paraId="6A661BBD" w14:textId="77777777" w:rsidR="00D56768" w:rsidRDefault="00D56768" w:rsidP="00D56768">
      <w:pPr>
        <w:pStyle w:val="ListParagraph"/>
        <w:numPr>
          <w:ilvl w:val="0"/>
          <w:numId w:val="2"/>
        </w:numPr>
        <w:spacing w:after="160"/>
        <w:rPr>
          <w:sz w:val="24"/>
          <w:szCs w:val="24"/>
        </w:rPr>
      </w:pPr>
      <w:r w:rsidRPr="00D56768">
        <w:rPr>
          <w:sz w:val="24"/>
          <w:szCs w:val="24"/>
        </w:rPr>
        <w:t>Define surveillance and containment and explain why it replaced mass vaccination as the primary strategy for smallpox eradication.</w:t>
      </w:r>
    </w:p>
    <w:p w14:paraId="534010A6" w14:textId="77777777" w:rsidR="00D56768" w:rsidRDefault="00D56768" w:rsidP="00D56768">
      <w:pPr>
        <w:pStyle w:val="ListParagraph"/>
        <w:numPr>
          <w:ilvl w:val="0"/>
          <w:numId w:val="2"/>
        </w:numPr>
        <w:spacing w:after="160"/>
        <w:rPr>
          <w:sz w:val="24"/>
          <w:szCs w:val="24"/>
        </w:rPr>
      </w:pPr>
      <w:r w:rsidRPr="00D56768">
        <w:rPr>
          <w:sz w:val="24"/>
          <w:szCs w:val="24"/>
        </w:rPr>
        <w:t>Identify the biological features of smallpox that made eradication feasible and assess which current diseases share those properties.</w:t>
      </w:r>
    </w:p>
    <w:p w14:paraId="0A5F4138" w14:textId="77777777" w:rsidR="00D56768" w:rsidRDefault="00D56768" w:rsidP="00D56768">
      <w:pPr>
        <w:pStyle w:val="ListParagraph"/>
        <w:numPr>
          <w:ilvl w:val="0"/>
          <w:numId w:val="2"/>
        </w:numPr>
        <w:spacing w:after="160"/>
        <w:rPr>
          <w:sz w:val="24"/>
          <w:szCs w:val="24"/>
        </w:rPr>
      </w:pPr>
      <w:r w:rsidRPr="00D56768">
        <w:rPr>
          <w:sz w:val="24"/>
          <w:szCs w:val="24"/>
        </w:rPr>
        <w:t>Explain how data served as a strategic resource in the eradication campaign—substituting for larger resources when disease biology permitted targeted action.</w:t>
      </w:r>
    </w:p>
    <w:p w14:paraId="259CD597" w14:textId="77777777" w:rsidR="00D56768" w:rsidRDefault="00D56768" w:rsidP="00D56768">
      <w:pPr>
        <w:pStyle w:val="ListParagraph"/>
        <w:numPr>
          <w:ilvl w:val="0"/>
          <w:numId w:val="2"/>
        </w:numPr>
        <w:spacing w:after="160"/>
        <w:rPr>
          <w:sz w:val="24"/>
          <w:szCs w:val="24"/>
        </w:rPr>
      </w:pPr>
      <w:r w:rsidRPr="00D56768">
        <w:rPr>
          <w:sz w:val="24"/>
          <w:szCs w:val="24"/>
        </w:rPr>
        <w:t>Analyze the role of leadership in sustaining organizational belief when success was uncertain, using Foege’s approach as a case.</w:t>
      </w:r>
    </w:p>
    <w:p w14:paraId="60A22ABF" w14:textId="77777777" w:rsidR="00D56768" w:rsidRDefault="00D56768" w:rsidP="00D56768">
      <w:pPr>
        <w:pStyle w:val="ListParagraph"/>
        <w:numPr>
          <w:ilvl w:val="0"/>
          <w:numId w:val="2"/>
        </w:numPr>
        <w:spacing w:after="160"/>
        <w:rPr>
          <w:sz w:val="24"/>
          <w:szCs w:val="24"/>
        </w:rPr>
      </w:pPr>
      <w:r w:rsidRPr="00D56768">
        <w:rPr>
          <w:sz w:val="24"/>
          <w:szCs w:val="24"/>
        </w:rPr>
        <w:t>Evaluate why the campaign required multilateral cooperation through WHO rather than unilateral American leadership, distinguishing between resources and legitimacy.</w:t>
      </w:r>
    </w:p>
    <w:p w14:paraId="38E4E805" w14:textId="77777777" w:rsidR="00D56768" w:rsidRDefault="00D56768" w:rsidP="00D56768">
      <w:pPr>
        <w:pStyle w:val="ListParagraph"/>
        <w:numPr>
          <w:ilvl w:val="0"/>
          <w:numId w:val="2"/>
        </w:numPr>
        <w:spacing w:after="160"/>
        <w:rPr>
          <w:sz w:val="24"/>
          <w:szCs w:val="24"/>
        </w:rPr>
      </w:pPr>
      <w:r w:rsidRPr="00D56768">
        <w:rPr>
          <w:sz w:val="24"/>
          <w:szCs w:val="24"/>
        </w:rPr>
        <w:t>Apply the See/Believe/Create framework to a single public health achievement, identifying specific decisions, innovations, and moments that exemplify each element.</w:t>
      </w:r>
    </w:p>
    <w:p w14:paraId="04786442" w14:textId="7C4D5AF2" w:rsidR="009C627C" w:rsidRPr="00D56768" w:rsidRDefault="00D56768" w:rsidP="00D56768">
      <w:pPr>
        <w:pStyle w:val="ListParagraph"/>
        <w:numPr>
          <w:ilvl w:val="0"/>
          <w:numId w:val="2"/>
        </w:numPr>
        <w:spacing w:after="160"/>
        <w:rPr>
          <w:sz w:val="24"/>
          <w:szCs w:val="24"/>
        </w:rPr>
      </w:pPr>
      <w:r w:rsidRPr="00D56768">
        <w:rPr>
          <w:sz w:val="24"/>
          <w:szCs w:val="24"/>
        </w:rPr>
        <w:t>Assess the management principles—clear measurable objectives, delegated authority, simple scalable tools, regular performance review, and community partnership—that enabled coordinated action across more than 70 countries.</w:t>
      </w:r>
    </w:p>
    <w:p w14:paraId="3849B636" w14:textId="77777777" w:rsidR="00ED4FB6" w:rsidRPr="0006418B" w:rsidRDefault="00ED4FB6" w:rsidP="00ED4FB6">
      <w:pPr>
        <w:spacing w:before="280" w:after="100"/>
        <w:rPr>
          <w:b/>
          <w:bCs/>
          <w:smallCaps/>
          <w:color w:val="222222"/>
          <w:sz w:val="24"/>
          <w:szCs w:val="24"/>
        </w:rPr>
      </w:pPr>
      <w:r w:rsidRPr="0006418B">
        <w:rPr>
          <w:b/>
          <w:bCs/>
          <w:smallCaps/>
          <w:color w:val="222222"/>
          <w:sz w:val="24"/>
          <w:szCs w:val="24"/>
        </w:rPr>
        <w:t>Themes and Concepts</w:t>
      </w:r>
    </w:p>
    <w:p w14:paraId="7EDFFCA6" w14:textId="77777777" w:rsidR="00ED4FB6" w:rsidRPr="00ED4FB6" w:rsidRDefault="00ED4FB6" w:rsidP="00ED4FB6">
      <w:pPr>
        <w:pStyle w:val="Heading2"/>
        <w:spacing w:after="120"/>
        <w:rPr>
          <w:b/>
          <w:bCs/>
          <w:color w:val="000000" w:themeColor="text1"/>
        </w:rPr>
      </w:pPr>
      <w:r w:rsidRPr="00ED4FB6">
        <w:rPr>
          <w:b/>
          <w:bCs/>
          <w:color w:val="000000" w:themeColor="text1"/>
          <w:sz w:val="24"/>
          <w:szCs w:val="24"/>
        </w:rPr>
        <w:t>Surveillance as Strategic Resource (See)</w:t>
      </w:r>
    </w:p>
    <w:p w14:paraId="71EC5919" w14:textId="77777777" w:rsidR="00ED4FB6" w:rsidRPr="00ED4FB6" w:rsidRDefault="00ED4FB6" w:rsidP="00ED4FB6">
      <w:pPr>
        <w:spacing w:after="120"/>
        <w:rPr>
          <w:sz w:val="24"/>
          <w:szCs w:val="24"/>
        </w:rPr>
      </w:pPr>
      <w:r w:rsidRPr="00ED4FB6">
        <w:rPr>
          <w:sz w:val="24"/>
          <w:szCs w:val="24"/>
        </w:rPr>
        <w:t xml:space="preserve">The shift from mass vaccination to surveillance and containment is the central strategic insight of the case. Foege asked a deceptively simple question: If I were a smallpox virus, how would I move? The </w:t>
      </w:r>
      <w:r w:rsidRPr="00ED4FB6">
        <w:rPr>
          <w:sz w:val="24"/>
          <w:szCs w:val="24"/>
        </w:rPr>
        <w:lastRenderedPageBreak/>
        <w:t>virus would break out of clusters and spread from community to community. Surveillance told workers exactly where to act. Students should understand that surveillance and containment required more information but less vaccine—a trade-off feasible only because smallpox biology permitted targeted action.</w:t>
      </w:r>
    </w:p>
    <w:p w14:paraId="13230A66"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Biology as Precondition</w:t>
      </w:r>
    </w:p>
    <w:p w14:paraId="42529756" w14:textId="77777777" w:rsidR="00ED4FB6" w:rsidRPr="00ED4FB6" w:rsidRDefault="00ED4FB6" w:rsidP="00ED4FB6">
      <w:pPr>
        <w:spacing w:after="120"/>
        <w:rPr>
          <w:sz w:val="24"/>
          <w:szCs w:val="24"/>
        </w:rPr>
      </w:pPr>
      <w:r w:rsidRPr="00ED4FB6">
        <w:rPr>
          <w:sz w:val="24"/>
          <w:szCs w:val="24"/>
        </w:rPr>
        <w:t>Eradication was possible because smallpox had a specific biological profile: no animal reservoir, visible symptoms that enabled case identification without laboratory tests, post-exposure vaccine efficacy within four to five days, long-lasting immunity from a single dose, a genetically stable virus that did not evade vaccines, and a single causative agent requiring only one vaccine. Ask which current diseases share these properties (polio, measles) and which do not (HIV, malaria, influenza). Eradication is distinct from elimination; the biological bar is high.</w:t>
      </w:r>
    </w:p>
    <w:p w14:paraId="7584A57E"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Leadership, Belief, and Strategic Optimism (Believe)</w:t>
      </w:r>
    </w:p>
    <w:p w14:paraId="7CCDB826" w14:textId="77777777" w:rsidR="00ED4FB6" w:rsidRPr="00ED4FB6" w:rsidRDefault="00ED4FB6" w:rsidP="00ED4FB6">
      <w:pPr>
        <w:spacing w:after="120"/>
        <w:rPr>
          <w:sz w:val="24"/>
          <w:szCs w:val="24"/>
        </w:rPr>
      </w:pPr>
      <w:r w:rsidRPr="00ED4FB6">
        <w:rPr>
          <w:sz w:val="24"/>
          <w:szCs w:val="24"/>
        </w:rPr>
        <w:t>Many assumed smallpox was inevitable. Foege</w:t>
      </w:r>
      <w:proofErr w:type="gramStart"/>
      <w:r w:rsidRPr="00ED4FB6">
        <w:rPr>
          <w:sz w:val="24"/>
          <w:szCs w:val="24"/>
        </w:rPr>
        <w:t>—</w:t>
      </w:r>
      <w:r w:rsidRPr="00ED4FB6">
        <w:rPr>
          <w:i/>
          <w:iCs/>
          <w:sz w:val="24"/>
          <w:szCs w:val="24"/>
        </w:rPr>
        <w:t>“</w:t>
      </w:r>
      <w:proofErr w:type="gramEnd"/>
      <w:r w:rsidRPr="00ED4FB6">
        <w:rPr>
          <w:i/>
          <w:iCs/>
          <w:sz w:val="24"/>
          <w:szCs w:val="24"/>
        </w:rPr>
        <w:t>resident con man”</w:t>
      </w:r>
      <w:r w:rsidRPr="00ED4FB6">
        <w:rPr>
          <w:sz w:val="24"/>
          <w:szCs w:val="24"/>
        </w:rPr>
        <w:t xml:space="preserve"> by his own description—kept health workers, governments, and communities believing success was achievable. This is the Believe element: confidence grounded in evidence. Strategic optimism is a technical skill, not a personality trait. Students should distinguish it from naive optimism: belief must be based on a technical package that can deliver the desired outcome.</w:t>
      </w:r>
    </w:p>
    <w:p w14:paraId="7B1E80DD"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Operational Excellence and Simple Scalable Tools (Create)</w:t>
      </w:r>
    </w:p>
    <w:p w14:paraId="5C429040" w14:textId="77777777" w:rsidR="00ED4FB6" w:rsidRPr="00ED4FB6" w:rsidRDefault="00ED4FB6" w:rsidP="00ED4FB6">
      <w:pPr>
        <w:spacing w:after="120"/>
        <w:rPr>
          <w:sz w:val="24"/>
          <w:szCs w:val="24"/>
        </w:rPr>
      </w:pPr>
      <w:r w:rsidRPr="00ED4FB6">
        <w:rPr>
          <w:sz w:val="24"/>
          <w:szCs w:val="24"/>
        </w:rPr>
        <w:t>The campaign engaged more than 200,000 health workers across more than 70 countries. They identified more than 10 million contacts of cases and vaccinated them within five days of exposure. This required operational systems: standardized reporting, clear measurable objectives (“zero cases globally” left no ambiguity), regular performance review at every level, delegated authority so field leaders could act without waiting for headquarters, and community engagement that converted communities from targets into partners. The bifurcated needle required minutes of training and delivered precise doses. Heat-stable vaccine formulations worked without cold chains. Simplicity is a design principle, not a compromise. This is the Create element: management, tools, communication, and strategy that transform insight and belief into action at scale.</w:t>
      </w:r>
    </w:p>
    <w:p w14:paraId="00A4CBBC" w14:textId="77777777" w:rsidR="00ED4FB6" w:rsidRPr="00ED4FB6" w:rsidRDefault="00ED4FB6" w:rsidP="00ED4FB6">
      <w:pPr>
        <w:pStyle w:val="Heading2"/>
        <w:spacing w:after="120"/>
        <w:rPr>
          <w:b/>
          <w:bCs/>
          <w:color w:val="000000" w:themeColor="text1"/>
          <w:sz w:val="24"/>
          <w:szCs w:val="24"/>
        </w:rPr>
      </w:pPr>
      <w:r w:rsidRPr="00ED4FB6">
        <w:rPr>
          <w:b/>
          <w:bCs/>
          <w:color w:val="000000" w:themeColor="text1"/>
          <w:sz w:val="24"/>
          <w:szCs w:val="24"/>
        </w:rPr>
        <w:t>Multilateralism, Legitimacy, and Coalition</w:t>
      </w:r>
    </w:p>
    <w:p w14:paraId="4D288EAA" w14:textId="77777777" w:rsidR="00ED4FB6" w:rsidRPr="00ED4FB6" w:rsidRDefault="00ED4FB6" w:rsidP="00ED4FB6">
      <w:pPr>
        <w:spacing w:after="120"/>
        <w:rPr>
          <w:sz w:val="24"/>
          <w:szCs w:val="24"/>
        </w:rPr>
      </w:pPr>
      <w:r w:rsidRPr="00ED4FB6">
        <w:rPr>
          <w:sz w:val="24"/>
          <w:szCs w:val="24"/>
        </w:rPr>
        <w:t xml:space="preserve">The US provided critical resources: funding, personnel, scientific leadership. But American leadership alone would have been blocked in Soviet-aligned countries and viewed with suspicion across the postcolonial world. WHO provided something the US could not: political neutrality and sovereign legitimacy. The Soviet Union contributed substantial vaccine supplies precisely because WHO—not Washington—ran the campaign. Students should distinguish between resources and </w:t>
      </w:r>
      <w:proofErr w:type="gramStart"/>
      <w:r w:rsidRPr="00ED4FB6">
        <w:rPr>
          <w:sz w:val="24"/>
          <w:szCs w:val="24"/>
        </w:rPr>
        <w:t>legitimacy, and</w:t>
      </w:r>
      <w:proofErr w:type="gramEnd"/>
      <w:r w:rsidRPr="00ED4FB6">
        <w:rPr>
          <w:sz w:val="24"/>
          <w:szCs w:val="24"/>
        </w:rPr>
        <w:t xml:space="preserve"> consider what this case tells us about the cost of withdrawing from or defunding multilateral institutions.</w:t>
      </w:r>
    </w:p>
    <w:p w14:paraId="1E88814F" w14:textId="68A508FC" w:rsidR="00ED4FB6" w:rsidRPr="007D18E3" w:rsidRDefault="00ED4FB6" w:rsidP="007D18E3">
      <w:pPr>
        <w:pStyle w:val="Heading2"/>
        <w:spacing w:after="120"/>
        <w:rPr>
          <w:b/>
          <w:bCs/>
          <w:color w:val="000000" w:themeColor="text1"/>
          <w:sz w:val="24"/>
          <w:szCs w:val="24"/>
        </w:rPr>
      </w:pPr>
      <w:r w:rsidRPr="00DF2378">
        <w:rPr>
          <w:b/>
          <w:bCs/>
          <w:color w:val="000000" w:themeColor="text1"/>
          <w:sz w:val="24"/>
          <w:szCs w:val="24"/>
        </w:rPr>
        <w:t>Public Health Success Makes Itself Invisible</w:t>
      </w:r>
    </w:p>
    <w:p w14:paraId="75D57615" w14:textId="77777777" w:rsidR="00ED4FB6" w:rsidRPr="00DF2378" w:rsidRDefault="00ED4FB6" w:rsidP="00ED4FB6">
      <w:pPr>
        <w:spacing w:after="120"/>
        <w:rPr>
          <w:sz w:val="24"/>
          <w:szCs w:val="24"/>
        </w:rPr>
      </w:pPr>
      <w:r w:rsidRPr="00DF2378">
        <w:rPr>
          <w:sz w:val="24"/>
          <w:szCs w:val="24"/>
        </w:rPr>
        <w:t>Most people alive today are unaware of the threat their parents faced or the effort that eliminated it. Sustaining support for prevention requires making invisible success visible. This is a permanent obligation—and, as Foege urged, the charge to becoming better ancestors.</w:t>
      </w:r>
    </w:p>
    <w:p w14:paraId="19200149" w14:textId="77777777" w:rsidR="00ED4FB6" w:rsidRPr="00DF2378" w:rsidRDefault="00ED4FB6" w:rsidP="00DF2378">
      <w:pPr>
        <w:spacing w:before="280" w:after="100"/>
        <w:rPr>
          <w:b/>
          <w:bCs/>
          <w:smallCaps/>
          <w:color w:val="222222"/>
          <w:sz w:val="22"/>
          <w:szCs w:val="22"/>
        </w:rPr>
      </w:pPr>
      <w:r w:rsidRPr="00DF2378">
        <w:rPr>
          <w:b/>
          <w:bCs/>
          <w:smallCaps/>
          <w:color w:val="222222"/>
          <w:sz w:val="22"/>
          <w:szCs w:val="22"/>
        </w:rPr>
        <w:t>Teaching Strategies</w:t>
      </w:r>
    </w:p>
    <w:p w14:paraId="7BDE1885"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Opening: The Paradox of Invisible Success</w:t>
      </w:r>
    </w:p>
    <w:p w14:paraId="125F9FB4" w14:textId="77777777" w:rsidR="00ED4FB6" w:rsidRPr="0006418B" w:rsidRDefault="00ED4FB6" w:rsidP="00ED4FB6">
      <w:pPr>
        <w:spacing w:after="120"/>
        <w:rPr>
          <w:sz w:val="24"/>
          <w:szCs w:val="24"/>
        </w:rPr>
      </w:pPr>
      <w:r w:rsidRPr="0006418B">
        <w:rPr>
          <w:sz w:val="24"/>
          <w:szCs w:val="24"/>
        </w:rPr>
        <w:t xml:space="preserve">Poll the room: who woke up this morning thinking about smallpox? Use the silence to establish the core paradox. The greatest public health achievement in history is invisible to its beneficiaries. </w:t>
      </w:r>
    </w:p>
    <w:p w14:paraId="797E79C1"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Background Mini-Lecture (10 minutes)</w:t>
      </w:r>
    </w:p>
    <w:p w14:paraId="0411D841" w14:textId="77777777" w:rsidR="00ED4FB6" w:rsidRPr="0006418B" w:rsidRDefault="00ED4FB6" w:rsidP="00ED4FB6">
      <w:pPr>
        <w:spacing w:after="120"/>
        <w:rPr>
          <w:sz w:val="24"/>
          <w:szCs w:val="24"/>
        </w:rPr>
      </w:pPr>
      <w:r w:rsidRPr="0006418B">
        <w:rPr>
          <w:sz w:val="24"/>
          <w:szCs w:val="24"/>
        </w:rPr>
        <w:lastRenderedPageBreak/>
        <w:t xml:space="preserve">Cover three things: the 1967 baseline (31 countries, ~10 million cases, ~2 million deaths per year); the strategic shift from mass vaccination to surveillance and containment; and the bifurcated needle as an example of simple scalable technology. End with the Foege </w:t>
      </w:r>
      <w:r w:rsidRPr="0006418B">
        <w:rPr>
          <w:i/>
          <w:iCs/>
          <w:sz w:val="24"/>
          <w:szCs w:val="24"/>
        </w:rPr>
        <w:t>“resident con man”</w:t>
      </w:r>
      <w:r w:rsidRPr="0006418B">
        <w:rPr>
          <w:sz w:val="24"/>
          <w:szCs w:val="24"/>
        </w:rPr>
        <w:t xml:space="preserve"> quote to set up the Believe theme. </w:t>
      </w:r>
    </w:p>
    <w:p w14:paraId="3BA1E1BF"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Discussion Questions: Mapping to the Framework</w:t>
      </w:r>
    </w:p>
    <w:p w14:paraId="4C5E35B3" w14:textId="77777777" w:rsidR="00ED4FB6" w:rsidRPr="0006418B" w:rsidRDefault="00ED4FB6" w:rsidP="00ED4FB6">
      <w:pPr>
        <w:spacing w:after="120"/>
        <w:rPr>
          <w:sz w:val="24"/>
          <w:szCs w:val="24"/>
        </w:rPr>
      </w:pPr>
      <w:r w:rsidRPr="0006418B">
        <w:rPr>
          <w:sz w:val="24"/>
          <w:szCs w:val="24"/>
        </w:rPr>
        <w:t xml:space="preserve">The three discussion questions map to the three elements of the formula. Question 1 (data as strategic resource) is See. Question 2 (biological feasibility and strategic alignment) spans See and Create. Question 3 (multilateralism and legitimacy) is Create with elements of Believe. Make this mapping explicit for students—it reinforces the framework and shows how a single case integrates all elements. </w:t>
      </w:r>
    </w:p>
    <w:p w14:paraId="553F01A5"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Small-Group Exercises: Contemporary Application</w:t>
      </w:r>
    </w:p>
    <w:p w14:paraId="6D2F0D2D" w14:textId="77777777" w:rsidR="00ED4FB6" w:rsidRPr="0006418B" w:rsidRDefault="00ED4FB6" w:rsidP="00ED4FB6">
      <w:pPr>
        <w:spacing w:after="120"/>
        <w:rPr>
          <w:sz w:val="24"/>
          <w:szCs w:val="24"/>
        </w:rPr>
      </w:pPr>
      <w:r w:rsidRPr="0006418B">
        <w:rPr>
          <w:sz w:val="24"/>
          <w:szCs w:val="24"/>
        </w:rPr>
        <w:t xml:space="preserve">Both small-group options push students from historical analysis to contemporary judgment. The “could smallpox be eradicated today” exercise forces students to weigh technological progress against institutional </w:t>
      </w:r>
      <w:proofErr w:type="gramStart"/>
      <w:r w:rsidRPr="0006418B">
        <w:rPr>
          <w:sz w:val="24"/>
          <w:szCs w:val="24"/>
        </w:rPr>
        <w:t>erosion..</w:t>
      </w:r>
      <w:proofErr w:type="gramEnd"/>
      <w:r w:rsidRPr="0006418B">
        <w:rPr>
          <w:sz w:val="24"/>
          <w:szCs w:val="24"/>
        </w:rPr>
        <w:t xml:space="preserve"> </w:t>
      </w:r>
    </w:p>
    <w:p w14:paraId="41196950"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Closing: The Post-Class Synthesis</w:t>
      </w:r>
    </w:p>
    <w:p w14:paraId="06EA068C" w14:textId="77777777" w:rsidR="00ED4FB6" w:rsidRPr="0006418B" w:rsidRDefault="00ED4FB6" w:rsidP="00ED4FB6">
      <w:pPr>
        <w:spacing w:after="120"/>
        <w:rPr>
          <w:sz w:val="24"/>
          <w:szCs w:val="24"/>
        </w:rPr>
      </w:pPr>
      <w:r w:rsidRPr="0006418B">
        <w:rPr>
          <w:sz w:val="24"/>
          <w:szCs w:val="24"/>
        </w:rPr>
        <w:t>The ten lessons consolidate the session’s themes and give students a reference document that connects the case to broader principles. The final lesson</w:t>
      </w:r>
      <w:proofErr w:type="gramStart"/>
      <w:r w:rsidRPr="0006418B">
        <w:rPr>
          <w:sz w:val="24"/>
          <w:szCs w:val="24"/>
        </w:rPr>
        <w:t>—“</w:t>
      </w:r>
      <w:proofErr w:type="gramEnd"/>
      <w:r w:rsidRPr="0006418B">
        <w:rPr>
          <w:sz w:val="24"/>
          <w:szCs w:val="24"/>
        </w:rPr>
        <w:t>public health success makes itself invisible”—closes the loop opened in the first minute of class.</w:t>
      </w:r>
    </w:p>
    <w:p w14:paraId="5B09CC39"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Connecting to Other Chapters</w:t>
      </w:r>
    </w:p>
    <w:p w14:paraId="21EC9CB9" w14:textId="77777777" w:rsidR="00ED4FB6" w:rsidRPr="0006418B" w:rsidRDefault="00ED4FB6" w:rsidP="00ED4FB6">
      <w:pPr>
        <w:spacing w:after="120"/>
        <w:rPr>
          <w:sz w:val="24"/>
          <w:szCs w:val="24"/>
        </w:rPr>
      </w:pPr>
      <w:r w:rsidRPr="0006418B">
        <w:rPr>
          <w:sz w:val="24"/>
          <w:szCs w:val="24"/>
        </w:rPr>
        <w:t xml:space="preserve">This case study works as a capstone because it integrates concepts from across </w:t>
      </w:r>
      <w:r w:rsidRPr="0006418B">
        <w:rPr>
          <w:i/>
          <w:iCs/>
          <w:sz w:val="24"/>
          <w:szCs w:val="24"/>
        </w:rPr>
        <w:t>The Formula</w:t>
      </w:r>
      <w:r w:rsidRPr="0006418B">
        <w:rPr>
          <w:sz w:val="24"/>
          <w:szCs w:val="24"/>
        </w:rPr>
        <w:t>. Surveillance (Chapter 1), technical packages (Chapter 3), strategic optimism (Chapter 4), and management systems (Chapter 5) all appear in the smallpox narrative. If teaching the case alongside specific chapters, draw explicit connections. If using it standalone, the case is self-contained through the student handout and readings.</w:t>
      </w:r>
    </w:p>
    <w:p w14:paraId="0D451BE8" w14:textId="77777777" w:rsidR="00ED4FB6" w:rsidRPr="0006418B" w:rsidRDefault="00ED4FB6" w:rsidP="0006418B">
      <w:pPr>
        <w:spacing w:before="280" w:after="100"/>
        <w:rPr>
          <w:b/>
          <w:bCs/>
          <w:smallCaps/>
          <w:color w:val="222222"/>
          <w:sz w:val="24"/>
          <w:szCs w:val="24"/>
        </w:rPr>
      </w:pPr>
      <w:r w:rsidRPr="0006418B">
        <w:rPr>
          <w:b/>
          <w:bCs/>
          <w:smallCaps/>
          <w:color w:val="222222"/>
          <w:sz w:val="24"/>
          <w:szCs w:val="24"/>
        </w:rPr>
        <w:t>Activities and Assignments</w:t>
      </w:r>
    </w:p>
    <w:p w14:paraId="2F4C5DB0"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In-Class: See/Believe/Create Framework Application</w:t>
      </w:r>
    </w:p>
    <w:p w14:paraId="1FB2EA94" w14:textId="77777777" w:rsidR="00ED4FB6" w:rsidRPr="0006418B" w:rsidRDefault="00ED4FB6" w:rsidP="00ED4FB6">
      <w:pPr>
        <w:spacing w:after="120"/>
        <w:rPr>
          <w:sz w:val="24"/>
          <w:szCs w:val="24"/>
        </w:rPr>
      </w:pPr>
      <w:r w:rsidRPr="0006418B">
        <w:rPr>
          <w:sz w:val="24"/>
          <w:szCs w:val="24"/>
        </w:rPr>
        <w:t>Divide students into three groups, each assigned one element of the framework (See, Believe, or Create). Each group identifies two to three specific decisions, innovations, or moments from the case that exemplify their assigned element. Groups present in sequence; the class then discusses which element was hardest to achieve and why. This exercise directly supports Essay Option A in the test bank.</w:t>
      </w:r>
    </w:p>
    <w:p w14:paraId="2DDDE7BD"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Out-of-Class: Eradication Feasibility Analysis (3–4 pages)</w:t>
      </w:r>
    </w:p>
    <w:p w14:paraId="35100B70" w14:textId="77777777" w:rsidR="00ED4FB6" w:rsidRPr="0006418B" w:rsidRDefault="00ED4FB6" w:rsidP="00ED4FB6">
      <w:pPr>
        <w:spacing w:after="120"/>
        <w:rPr>
          <w:sz w:val="24"/>
          <w:szCs w:val="24"/>
        </w:rPr>
      </w:pPr>
      <w:r w:rsidRPr="0006418B">
        <w:rPr>
          <w:sz w:val="24"/>
          <w:szCs w:val="24"/>
        </w:rPr>
        <w:t>Students select a disease and assess its feasibility for eradication. The analysis addresses: biological preconditions (animal reservoir, symptom visibility, vaccine characteristics, immune duration); strategic requirements (surveillance systems, delivery mechanisms, community engagement); political conditions (multilateral cooperation, funding, government commitment); and an overall assessment with honest acknowledgment of obstacles. Require students to reference at least two features from the smallpox case as points of comparison.</w:t>
      </w:r>
    </w:p>
    <w:p w14:paraId="43938FFE" w14:textId="77777777" w:rsidR="00ED4FB6" w:rsidRPr="0006418B" w:rsidRDefault="00ED4FB6" w:rsidP="0006418B">
      <w:pPr>
        <w:spacing w:before="280" w:after="100"/>
        <w:rPr>
          <w:b/>
          <w:bCs/>
          <w:smallCaps/>
          <w:color w:val="222222"/>
          <w:sz w:val="24"/>
          <w:szCs w:val="24"/>
        </w:rPr>
      </w:pPr>
      <w:r w:rsidRPr="0006418B">
        <w:rPr>
          <w:b/>
          <w:bCs/>
          <w:smallCaps/>
          <w:color w:val="222222"/>
          <w:sz w:val="24"/>
          <w:szCs w:val="24"/>
        </w:rPr>
        <w:t>Additional Resources</w:t>
      </w:r>
    </w:p>
    <w:p w14:paraId="0F07E7FB"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Required Readings</w:t>
      </w:r>
    </w:p>
    <w:p w14:paraId="3D5B4075"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Frieden TR. </w:t>
      </w:r>
      <w:r w:rsidRPr="0006418B">
        <w:rPr>
          <w:i/>
          <w:iCs/>
          <w:color w:val="000000"/>
          <w:sz w:val="24"/>
          <w:szCs w:val="24"/>
        </w:rPr>
        <w:t>The Formula for Better Health: How to Save Millions of Lives—Including Your Own.</w:t>
      </w:r>
      <w:r w:rsidRPr="0006418B">
        <w:rPr>
          <w:color w:val="000000"/>
          <w:sz w:val="24"/>
          <w:szCs w:val="24"/>
        </w:rPr>
        <w:t xml:space="preserve"> Cambridge: MIT Press, 2025. Pp. 50–53 (technical packages); 59–63 (technical package for smallpox eradication); 125–126 (misinformation); 135 (being strategic).</w:t>
      </w:r>
    </w:p>
    <w:p w14:paraId="70C48BC9"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Foege WH. </w:t>
      </w:r>
      <w:r w:rsidRPr="0006418B">
        <w:rPr>
          <w:i/>
          <w:iCs/>
          <w:color w:val="000000"/>
          <w:sz w:val="24"/>
          <w:szCs w:val="24"/>
        </w:rPr>
        <w:t>House on Fire: The Fight to Eradicate Smallpox.</w:t>
      </w:r>
      <w:r w:rsidRPr="0006418B">
        <w:rPr>
          <w:color w:val="000000"/>
          <w:sz w:val="24"/>
          <w:szCs w:val="24"/>
        </w:rPr>
        <w:t xml:space="preserve"> University of California Press / Milbank Memorial Fund, 2011. Foreword, preface, chapters 1, 2, 8–11, and postscript.</w:t>
      </w:r>
    </w:p>
    <w:p w14:paraId="3F33A291"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lastRenderedPageBreak/>
        <w:t>Optional Readings</w:t>
      </w:r>
    </w:p>
    <w:p w14:paraId="3AF07AF4"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Frieden TR. </w:t>
      </w:r>
      <w:r w:rsidRPr="0006418B">
        <w:rPr>
          <w:i/>
          <w:iCs/>
          <w:color w:val="000000"/>
          <w:sz w:val="24"/>
          <w:szCs w:val="24"/>
        </w:rPr>
        <w:t>The Formula for Better Health.</w:t>
      </w:r>
      <w:r w:rsidRPr="0006418B">
        <w:rPr>
          <w:color w:val="000000"/>
          <w:sz w:val="24"/>
          <w:szCs w:val="24"/>
        </w:rPr>
        <w:t xml:space="preserve"> Chapters 3, 4, and 5 in full.</w:t>
      </w:r>
    </w:p>
    <w:p w14:paraId="36A9BA28"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Foege WH. </w:t>
      </w:r>
      <w:r w:rsidRPr="0006418B">
        <w:rPr>
          <w:i/>
          <w:iCs/>
          <w:color w:val="000000"/>
          <w:sz w:val="24"/>
          <w:szCs w:val="24"/>
        </w:rPr>
        <w:t>House on Fire.</w:t>
      </w:r>
      <w:r w:rsidRPr="0006418B">
        <w:rPr>
          <w:color w:val="000000"/>
          <w:sz w:val="24"/>
          <w:szCs w:val="24"/>
        </w:rPr>
        <w:t xml:space="preserve"> Remaining chapters.</w:t>
      </w:r>
    </w:p>
    <w:p w14:paraId="2857705E"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Videos and Multimedia</w:t>
      </w:r>
    </w:p>
    <w:p w14:paraId="3D7E85D7"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Foege WH. Conversations on the history of smallpox eradication. Emory University Global Health Institute recordings. — First-person accounts from the field.</w:t>
      </w:r>
    </w:p>
    <w:p w14:paraId="39E14BB8"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 xml:space="preserve">WHO. “Smallpox Eradication </w:t>
      </w:r>
      <w:proofErr w:type="spellStart"/>
      <w:r w:rsidRPr="0006418B">
        <w:rPr>
          <w:color w:val="000000"/>
          <w:sz w:val="24"/>
          <w:szCs w:val="24"/>
        </w:rPr>
        <w:t>Programme</w:t>
      </w:r>
      <w:proofErr w:type="spellEnd"/>
      <w:r w:rsidRPr="0006418B">
        <w:rPr>
          <w:color w:val="000000"/>
          <w:sz w:val="24"/>
          <w:szCs w:val="24"/>
        </w:rPr>
        <w:t>” archival footage and photo collections. — Visual material showing the bifurcated needle, field surveillance, and containment operations.</w:t>
      </w:r>
    </w:p>
    <w:p w14:paraId="132297AE" w14:textId="77777777" w:rsidR="00ED4FB6" w:rsidRPr="0006418B" w:rsidRDefault="00ED4FB6" w:rsidP="00ED4FB6">
      <w:pPr>
        <w:numPr>
          <w:ilvl w:val="0"/>
          <w:numId w:val="1"/>
        </w:numPr>
        <w:pBdr>
          <w:top w:val="nil"/>
          <w:left w:val="nil"/>
          <w:bottom w:val="nil"/>
          <w:right w:val="nil"/>
          <w:between w:val="nil"/>
        </w:pBdr>
        <w:spacing w:after="80"/>
        <w:rPr>
          <w:sz w:val="24"/>
          <w:szCs w:val="24"/>
        </w:rPr>
      </w:pPr>
      <w:r w:rsidRPr="0006418B">
        <w:rPr>
          <w:color w:val="000000"/>
          <w:sz w:val="24"/>
          <w:szCs w:val="24"/>
        </w:rPr>
        <w:t>The Carter Center. Tributes and addresses by William H. Foege. — Foege’s reflections on leadership, management, and the obligation to become good ancestors.</w:t>
      </w:r>
    </w:p>
    <w:p w14:paraId="3121ACC7" w14:textId="77777777" w:rsidR="00ED4FB6" w:rsidRPr="0006418B" w:rsidRDefault="00ED4FB6" w:rsidP="00ED4FB6">
      <w:pPr>
        <w:pStyle w:val="Heading2"/>
        <w:spacing w:after="120"/>
        <w:rPr>
          <w:b/>
          <w:bCs/>
          <w:color w:val="000000" w:themeColor="text1"/>
          <w:sz w:val="24"/>
          <w:szCs w:val="24"/>
        </w:rPr>
      </w:pPr>
      <w:r w:rsidRPr="0006418B">
        <w:rPr>
          <w:b/>
          <w:bCs/>
          <w:color w:val="000000" w:themeColor="text1"/>
          <w:sz w:val="24"/>
          <w:szCs w:val="24"/>
        </w:rPr>
        <w:t>Guest Speakers</w:t>
      </w:r>
    </w:p>
    <w:p w14:paraId="73EE1B77" w14:textId="77777777" w:rsidR="00ED4FB6" w:rsidRPr="0006418B" w:rsidRDefault="00ED4FB6" w:rsidP="00ED4FB6">
      <w:pPr>
        <w:spacing w:after="120"/>
        <w:rPr>
          <w:sz w:val="24"/>
          <w:szCs w:val="24"/>
        </w:rPr>
      </w:pPr>
      <w:r w:rsidRPr="0006418B">
        <w:rPr>
          <w:sz w:val="24"/>
          <w:szCs w:val="24"/>
        </w:rPr>
        <w:t>Consider: a veteran of a disease eradication or elimination campaign (polio, Guinea worm); a WHO or CDC official involved in global immunization programs; a historian of science who studies international health cooperation.</w:t>
      </w:r>
    </w:p>
    <w:p w14:paraId="10A0A7E2" w14:textId="77777777" w:rsidR="00ED4FB6" w:rsidRPr="0006418B" w:rsidRDefault="00ED4FB6" w:rsidP="00ED4FB6">
      <w:pPr>
        <w:pStyle w:val="Heading1"/>
        <w:rPr>
          <w:b/>
          <w:bCs/>
          <w:sz w:val="24"/>
          <w:szCs w:val="24"/>
        </w:rPr>
      </w:pPr>
      <w:r w:rsidRPr="0006418B">
        <w:rPr>
          <w:sz w:val="24"/>
          <w:szCs w:val="24"/>
        </w:rPr>
        <w:br w:type="page"/>
      </w:r>
    </w:p>
    <w:p w14:paraId="7E55421E" w14:textId="77777777" w:rsidR="00ED4FB6" w:rsidRPr="00F1602A" w:rsidRDefault="00ED4FB6" w:rsidP="00F1602A">
      <w:pPr>
        <w:spacing w:before="280" w:after="100"/>
        <w:rPr>
          <w:b/>
          <w:bCs/>
          <w:smallCaps/>
          <w:color w:val="222222"/>
          <w:sz w:val="24"/>
          <w:szCs w:val="24"/>
        </w:rPr>
      </w:pPr>
      <w:r w:rsidRPr="00F1602A">
        <w:rPr>
          <w:b/>
          <w:bCs/>
          <w:smallCaps/>
          <w:color w:val="222222"/>
          <w:sz w:val="24"/>
          <w:szCs w:val="24"/>
        </w:rPr>
        <w:lastRenderedPageBreak/>
        <w:t>CEPH Competency Crosswalk</w:t>
      </w:r>
    </w:p>
    <w:p w14:paraId="27D681DF" w14:textId="77777777" w:rsidR="00ED4FB6" w:rsidRPr="00F1602A" w:rsidRDefault="00ED4FB6" w:rsidP="00ED4FB6">
      <w:pPr>
        <w:spacing w:after="120"/>
        <w:rPr>
          <w:sz w:val="24"/>
          <w:szCs w:val="24"/>
        </w:rPr>
      </w:pPr>
      <w:r w:rsidRPr="00F1602A">
        <w:rPr>
          <w:sz w:val="24"/>
          <w:szCs w:val="24"/>
        </w:rPr>
        <w:t>This case study addresses the following CEPH 2016 MPH Foundational Competencies:</w:t>
      </w:r>
    </w:p>
    <w:p w14:paraId="6B40FCFC" w14:textId="77777777" w:rsidR="00ED4FB6" w:rsidRDefault="00ED4FB6" w:rsidP="00ED4FB6">
      <w:pPr>
        <w:spacing w:after="60"/>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
        <w:gridCol w:w="4330"/>
        <w:gridCol w:w="4595"/>
      </w:tblGrid>
      <w:tr w:rsidR="00ED4FB6" w14:paraId="4041BE21" w14:textId="77777777" w:rsidTr="00F1602A">
        <w:tc>
          <w:tcPr>
            <w:tcW w:w="700"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3736397F" w14:textId="77777777" w:rsidR="00ED4FB6" w:rsidRDefault="00ED4FB6" w:rsidP="00041B74">
            <w:r>
              <w:rPr>
                <w:b/>
                <w:bCs/>
                <w:color w:val="FFFFFF"/>
              </w:rPr>
              <w:t>No.</w:t>
            </w:r>
          </w:p>
        </w:tc>
        <w:tc>
          <w:tcPr>
            <w:tcW w:w="4330"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364890D5" w14:textId="77777777" w:rsidR="00ED4FB6" w:rsidRDefault="00ED4FB6" w:rsidP="00041B74">
            <w:r>
              <w:rPr>
                <w:b/>
                <w:bCs/>
                <w:color w:val="FFFFFF"/>
              </w:rPr>
              <w:t>Competency</w:t>
            </w:r>
          </w:p>
        </w:tc>
        <w:tc>
          <w:tcPr>
            <w:tcW w:w="4595"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18E91119" w14:textId="77777777" w:rsidR="00ED4FB6" w:rsidRDefault="00ED4FB6" w:rsidP="00041B74">
            <w:r>
              <w:rPr>
                <w:b/>
                <w:bCs/>
                <w:color w:val="FFFFFF"/>
              </w:rPr>
              <w:t xml:space="preserve">Where </w:t>
            </w:r>
            <w:proofErr w:type="gramStart"/>
            <w:r>
              <w:rPr>
                <w:b/>
                <w:bCs/>
                <w:color w:val="FFFFFF"/>
              </w:rPr>
              <w:t>Addressed</w:t>
            </w:r>
            <w:proofErr w:type="gramEnd"/>
          </w:p>
        </w:tc>
      </w:tr>
      <w:tr w:rsidR="00ED4FB6" w14:paraId="2ED159FF"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527CDDB" w14:textId="77777777" w:rsidR="00ED4FB6" w:rsidRDefault="00ED4FB6" w:rsidP="00041B74">
            <w:r>
              <w:t>C1</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3112A8A" w14:textId="77777777" w:rsidR="00ED4FB6" w:rsidRDefault="00ED4FB6" w:rsidP="00041B74">
            <w:r>
              <w:t>Apply epidemiological methods to settings and situations in public health practice</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499E41F" w14:textId="77777777" w:rsidR="00ED4FB6" w:rsidRDefault="00ED4FB6" w:rsidP="00041B74">
            <w:r>
              <w:t>Surveillance and containment strategy; discussion question 1 (data as strategic resource); eradication feasibility assignment</w:t>
            </w:r>
          </w:p>
        </w:tc>
      </w:tr>
      <w:tr w:rsidR="00ED4FB6" w14:paraId="53B602DF"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0765238" w14:textId="77777777" w:rsidR="00ED4FB6" w:rsidRDefault="00ED4FB6" w:rsidP="00041B74">
            <w:r>
              <w:t>C2</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63D0C3B" w14:textId="77777777" w:rsidR="00ED4FB6" w:rsidRDefault="00ED4FB6" w:rsidP="00041B74">
            <w:r>
              <w:t>Select quantitative and qualitative data collection methods appropriate for a given public health context</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F0AFDC4" w14:textId="77777777" w:rsidR="00ED4FB6" w:rsidRDefault="00ED4FB6" w:rsidP="00041B74">
            <w:r>
              <w:t>Comparison of mass vaccination vs. surveillance-based approach; in-class framework application exercise</w:t>
            </w:r>
          </w:p>
        </w:tc>
      </w:tr>
      <w:tr w:rsidR="00ED4FB6" w14:paraId="493A8D2D"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8990779" w14:textId="77777777" w:rsidR="00ED4FB6" w:rsidRDefault="00ED4FB6" w:rsidP="00041B74">
            <w:r>
              <w:t>C4</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1C053FE" w14:textId="77777777" w:rsidR="00ED4FB6" w:rsidRDefault="00ED4FB6" w:rsidP="00041B74">
            <w:r>
              <w:t>Interpret results of data analysis for public health research, policy, or practice</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A632976" w14:textId="77777777" w:rsidR="00ED4FB6" w:rsidRDefault="00ED4FB6" w:rsidP="00041B74">
            <w:r>
              <w:t>Surveillance data guiding containment decisions; translating field data into resource allocation</w:t>
            </w:r>
          </w:p>
        </w:tc>
      </w:tr>
      <w:tr w:rsidR="00ED4FB6" w14:paraId="577959A6"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646D42F" w14:textId="77777777" w:rsidR="00ED4FB6" w:rsidRDefault="00ED4FB6" w:rsidP="00041B74">
            <w:r>
              <w:t>C5</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646EAF0" w14:textId="77777777" w:rsidR="00ED4FB6" w:rsidRDefault="00ED4FB6" w:rsidP="00041B74">
            <w:r>
              <w:t>Compare the organization, structure, and function of health care, public health, and regulatory systems across national and international settings</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9AFC731" w14:textId="77777777" w:rsidR="00ED4FB6" w:rsidRDefault="00ED4FB6" w:rsidP="00041B74">
            <w:r>
              <w:t>WHO role vs. US bilateral capacity; multilateralism discussion (question 3); Cold War cooperation</w:t>
            </w:r>
          </w:p>
        </w:tc>
      </w:tr>
      <w:tr w:rsidR="00ED4FB6" w14:paraId="1AC02B45"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5710DA5" w14:textId="77777777" w:rsidR="00ED4FB6" w:rsidRDefault="00ED4FB6" w:rsidP="00041B74">
            <w:r>
              <w:t>C6</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D2552B3" w14:textId="77777777" w:rsidR="00ED4FB6" w:rsidRDefault="00ED4FB6" w:rsidP="00041B74">
            <w:r>
              <w:t xml:space="preserve">Discuss </w:t>
            </w:r>
            <w:proofErr w:type="gramStart"/>
            <w:r>
              <w:t>the means by which</w:t>
            </w:r>
            <w:proofErr w:type="gramEnd"/>
            <w:r>
              <w:t xml:space="preserve"> structural bias, social inequities, and racism undermine health and create challenges to achieving health equity</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BE27C1C" w14:textId="77777777" w:rsidR="00ED4FB6" w:rsidRDefault="00ED4FB6" w:rsidP="00041B74">
            <w:r>
              <w:t>Eradication as equity (“for everyone and forever”); postcolonial suspicion of US-led programs; community engagement as equity strategy</w:t>
            </w:r>
          </w:p>
        </w:tc>
      </w:tr>
      <w:tr w:rsidR="00ED4FB6" w14:paraId="322953FB"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948BB86" w14:textId="77777777" w:rsidR="00ED4FB6" w:rsidRDefault="00ED4FB6" w:rsidP="00041B74">
            <w:r>
              <w:t>C7</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64EEC21" w14:textId="77777777" w:rsidR="00ED4FB6" w:rsidRDefault="00ED4FB6" w:rsidP="00041B74">
            <w:r>
              <w:t>Assess population needs, assets, and capacities that affect communities’ health</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CC58FC5" w14:textId="77777777" w:rsidR="00ED4FB6" w:rsidRDefault="00ED4FB6" w:rsidP="00041B74">
            <w:r>
              <w:t>Community-based surveillance; local hiring and incentive systems; adapting strategies to country contexts</w:t>
            </w:r>
          </w:p>
        </w:tc>
      </w:tr>
      <w:tr w:rsidR="00ED4FB6" w14:paraId="006A185B"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6878EBC" w14:textId="77777777" w:rsidR="00ED4FB6" w:rsidRDefault="00ED4FB6" w:rsidP="00041B74">
            <w:r>
              <w:t>C11</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97BB83C" w14:textId="77777777" w:rsidR="00ED4FB6" w:rsidRDefault="00ED4FB6" w:rsidP="00041B74">
            <w:r>
              <w:t>Select methods to evaluate public health programs</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A57ABE4" w14:textId="77777777" w:rsidR="00ED4FB6" w:rsidRDefault="00ED4FB6" w:rsidP="00041B74">
            <w:r>
              <w:t>Regular performance review; accountability systems; program management as a determinant of success; the “eradicate bad management” theme</w:t>
            </w:r>
          </w:p>
        </w:tc>
      </w:tr>
      <w:tr w:rsidR="00ED4FB6" w14:paraId="170F56C5"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1351C53" w14:textId="77777777" w:rsidR="00ED4FB6" w:rsidRDefault="00ED4FB6" w:rsidP="00041B74">
            <w:r>
              <w:t>C18</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D8C57A5" w14:textId="77777777" w:rsidR="00ED4FB6" w:rsidRDefault="00ED4FB6" w:rsidP="00041B74">
            <w:r>
              <w:t>Select communication strategies for different audiences and sectors</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C0B42D2" w14:textId="77777777" w:rsidR="00ED4FB6" w:rsidRDefault="00ED4FB6" w:rsidP="00041B74">
            <w:r>
              <w:t>Foege’s reframing of the India minister’s objection; strategic optimism; community engagement and incentive design</w:t>
            </w:r>
          </w:p>
        </w:tc>
      </w:tr>
      <w:tr w:rsidR="00ED4FB6" w14:paraId="754A3309" w14:textId="77777777" w:rsidTr="00F1602A">
        <w:tc>
          <w:tcPr>
            <w:tcW w:w="7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2808D4C" w14:textId="77777777" w:rsidR="00ED4FB6" w:rsidRDefault="00ED4FB6" w:rsidP="00041B74">
            <w:r>
              <w:t>C22</w:t>
            </w:r>
          </w:p>
        </w:tc>
        <w:tc>
          <w:tcPr>
            <w:tcW w:w="433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8B96C42" w14:textId="77777777" w:rsidR="00ED4FB6" w:rsidRDefault="00ED4FB6" w:rsidP="00041B74">
            <w:r>
              <w:t>Apply systems thinking tools to a public health issue</w:t>
            </w:r>
          </w:p>
        </w:tc>
        <w:tc>
          <w:tcPr>
            <w:tcW w:w="45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C7AFD09" w14:textId="77777777" w:rsidR="00ED4FB6" w:rsidRDefault="00ED4FB6" w:rsidP="00041B74">
            <w:r>
              <w:t>See/Believe/Create framework applied to a single case; interaction of biology, strategy, and management as a system</w:t>
            </w:r>
          </w:p>
        </w:tc>
      </w:tr>
    </w:tbl>
    <w:p w14:paraId="1A44E1AF" w14:textId="3A6C2966" w:rsidR="00434832" w:rsidRDefault="00434832">
      <w:pPr>
        <w:spacing w:before="80" w:after="80"/>
        <w:ind w:left="360" w:hanging="360"/>
      </w:pPr>
    </w:p>
    <w:sectPr w:rsidR="00434832">
      <w:footerReference w:type="default" r:id="rId11"/>
      <w:pgSz w:w="12240" w:h="15840"/>
      <w:pgMar w:top="720" w:right="1080" w:bottom="72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724C2" w14:textId="77777777" w:rsidR="00C528EE" w:rsidRDefault="00C528EE">
      <w:r>
        <w:separator/>
      </w:r>
    </w:p>
  </w:endnote>
  <w:endnote w:type="continuationSeparator" w:id="0">
    <w:p w14:paraId="05E44701" w14:textId="77777777" w:rsidR="00C528EE" w:rsidRDefault="00C52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33F6543-FDA1-C745-A86C-C4EAA23CCE16}"/>
  </w:font>
  <w:font w:name="Times New Roman">
    <w:panose1 w:val="02020603050405020304"/>
    <w:charset w:val="00"/>
    <w:family w:val="roman"/>
    <w:pitch w:val="variable"/>
    <w:sig w:usb0="E0002EFF" w:usb1="C000785B" w:usb2="00000009" w:usb3="00000000" w:csb0="000001FF" w:csb1="00000000"/>
    <w:embedRegular r:id="rId2" w:fontKey="{D912B5CB-8CE5-314C-8343-4C7D30C5166F}"/>
    <w:embedBold r:id="rId3" w:fontKey="{EAEBDFA2-999E-E347-BD56-A4A7AA2B6270}"/>
    <w:embedItalic r:id="rId4" w:fontKey="{780247CE-8554-A440-B070-47B2C1A3DAEC}"/>
  </w:font>
  <w:font w:name="Courier New">
    <w:panose1 w:val="02070309020205020404"/>
    <w:charset w:val="00"/>
    <w:family w:val="modern"/>
    <w:pitch w:val="fixed"/>
    <w:sig w:usb0="E0002EFF" w:usb1="C0007843" w:usb2="00000009" w:usb3="00000000" w:csb0="000001FF" w:csb1="00000000"/>
    <w:embedRegular r:id="rId5" w:fontKey="{981BAA7D-14EF-B843-A2B8-65F32872D762}"/>
  </w:font>
  <w:font w:name="Wingdings">
    <w:panose1 w:val="05000000000000000000"/>
    <w:charset w:val="4D"/>
    <w:family w:val="decorative"/>
    <w:pitch w:val="variable"/>
    <w:sig w:usb0="00000003" w:usb1="00000000" w:usb2="00000000" w:usb3="00000000" w:csb0="80000001" w:csb1="00000000"/>
    <w:embedRegular r:id="rId6" w:fontKey="{B0807145-94EE-CC4C-B4AB-79BCD1172400}"/>
  </w:font>
  <w:font w:name="Georgia">
    <w:panose1 w:val="02040502050405020303"/>
    <w:charset w:val="00"/>
    <w:family w:val="roman"/>
    <w:pitch w:val="variable"/>
    <w:sig w:usb0="00000287" w:usb1="00000000" w:usb2="00000000" w:usb3="00000000" w:csb0="0000009F" w:csb1="00000000"/>
    <w:embedItalic r:id="rId7" w:fontKey="{8CD3F290-7CF9-AB4B-B3D3-FE414ADDA6E3}"/>
  </w:font>
  <w:font w:name="Arial">
    <w:panose1 w:val="020B0604020202020204"/>
    <w:charset w:val="00"/>
    <w:family w:val="swiss"/>
    <w:pitch w:val="variable"/>
    <w:sig w:usb0="E0002EFF" w:usb1="C000785B" w:usb2="00000009" w:usb3="00000000" w:csb0="000001FF" w:csb1="00000000"/>
    <w:embedRegular r:id="rId8" w:fontKey="{4B5C71B4-B972-B041-9C59-A074548DD73B}"/>
    <w:embedBold r:id="rId9" w:fontKey="{707808C4-A5F3-2846-8FC9-6A16A800ECC7}"/>
  </w:font>
  <w:font w:name="Aptos Display">
    <w:panose1 w:val="020B0004020202020204"/>
    <w:charset w:val="00"/>
    <w:family w:val="swiss"/>
    <w:pitch w:val="variable"/>
    <w:sig w:usb0="20000287" w:usb1="00000003" w:usb2="00000000" w:usb3="00000000" w:csb0="0000019F" w:csb1="00000000"/>
    <w:embedRegular r:id="rId10" w:fontKey="{F8A37100-0939-204F-8B38-E05A92A3DB28}"/>
  </w:font>
  <w:font w:name="Aptos">
    <w:panose1 w:val="020B0004020202020204"/>
    <w:charset w:val="00"/>
    <w:family w:val="swiss"/>
    <w:pitch w:val="variable"/>
    <w:sig w:usb0="20000287" w:usb1="00000003" w:usb2="00000000" w:usb3="00000000" w:csb0="0000019F" w:csb1="00000000"/>
    <w:embedRegular r:id="rId11" w:fontKey="{05821E08-BD0D-E34E-8041-53F0C6B36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8A824" w14:textId="07C756CE" w:rsidR="002258E4" w:rsidRPr="002258E4" w:rsidRDefault="00A27E6A" w:rsidP="002258E4">
    <w:pPr>
      <w:jc w:val="center"/>
      <w:rPr>
        <w:color w:val="888888"/>
        <w:sz w:val="18"/>
        <w:szCs w:val="18"/>
      </w:rPr>
    </w:pPr>
    <w:r>
      <w:rPr>
        <w:color w:val="888888"/>
        <w:sz w:val="18"/>
        <w:szCs w:val="18"/>
      </w:rPr>
      <w:t xml:space="preserve">The Formula for Better </w:t>
    </w:r>
    <w:proofErr w:type="gramStart"/>
    <w:r>
      <w:rPr>
        <w:color w:val="888888"/>
        <w:sz w:val="18"/>
        <w:szCs w:val="18"/>
      </w:rPr>
      <w:t>Health  ·</w:t>
    </w:r>
    <w:proofErr w:type="gramEnd"/>
    <w:r>
      <w:rPr>
        <w:color w:val="888888"/>
        <w:sz w:val="18"/>
        <w:szCs w:val="18"/>
      </w:rPr>
      <w:t xml:space="preserve">  MIT Press, </w:t>
    </w:r>
    <w:proofErr w:type="gramStart"/>
    <w:r>
      <w:rPr>
        <w:color w:val="888888"/>
        <w:sz w:val="18"/>
        <w:szCs w:val="18"/>
      </w:rPr>
      <w:t>2025  ·</w:t>
    </w:r>
    <w:proofErr w:type="gramEnd"/>
    <w:r>
      <w:rPr>
        <w:color w:val="888888"/>
        <w:sz w:val="18"/>
        <w:szCs w:val="18"/>
      </w:rPr>
      <w:t xml:space="preserve">  </w:t>
    </w:r>
    <w:r w:rsidR="002258E4">
      <w:rPr>
        <w:color w:val="888888"/>
        <w:sz w:val="18"/>
        <w:szCs w:val="18"/>
      </w:rPr>
      <w:t>theformulaforbetterhealth.net/</w:t>
    </w:r>
    <w:proofErr w:type="spellStart"/>
    <w:r w:rsidR="002258E4">
      <w:rPr>
        <w:color w:val="888888"/>
        <w:sz w:val="18"/>
        <w:szCs w:val="18"/>
      </w:rPr>
      <w:t>formulateaching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79F7D" w14:textId="77777777" w:rsidR="00C528EE" w:rsidRDefault="00C528EE">
      <w:r>
        <w:separator/>
      </w:r>
    </w:p>
  </w:footnote>
  <w:footnote w:type="continuationSeparator" w:id="0">
    <w:p w14:paraId="38AC03C0" w14:textId="77777777" w:rsidR="00C528EE" w:rsidRDefault="00C528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564C9"/>
    <w:multiLevelType w:val="multilevel"/>
    <w:tmpl w:val="95BAABC4"/>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03871C8"/>
    <w:multiLevelType w:val="hybridMultilevel"/>
    <w:tmpl w:val="99D62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5873856">
    <w:abstractNumId w:val="0"/>
  </w:num>
  <w:num w:numId="2" w16cid:durableId="1568370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832"/>
    <w:rsid w:val="0006418B"/>
    <w:rsid w:val="00107EEA"/>
    <w:rsid w:val="002258E4"/>
    <w:rsid w:val="00434832"/>
    <w:rsid w:val="00563017"/>
    <w:rsid w:val="00676BE5"/>
    <w:rsid w:val="007D18E3"/>
    <w:rsid w:val="00882F3A"/>
    <w:rsid w:val="008D497F"/>
    <w:rsid w:val="00957C8C"/>
    <w:rsid w:val="009C627C"/>
    <w:rsid w:val="00A27E6A"/>
    <w:rsid w:val="00B466FB"/>
    <w:rsid w:val="00C05BE1"/>
    <w:rsid w:val="00C4342B"/>
    <w:rsid w:val="00C43B34"/>
    <w:rsid w:val="00C528EE"/>
    <w:rsid w:val="00D56768"/>
    <w:rsid w:val="00DF0BAB"/>
    <w:rsid w:val="00DF2378"/>
    <w:rsid w:val="00ED4FB6"/>
    <w:rsid w:val="00F1602A"/>
    <w:rsid w:val="00FF3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1418A9"/>
  <w15:docId w15:val="{03758E4D-25BA-2446-BED0-7BA00EAE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2258E4"/>
    <w:pPr>
      <w:tabs>
        <w:tab w:val="center" w:pos="4680"/>
        <w:tab w:val="right" w:pos="9360"/>
      </w:tabs>
    </w:pPr>
  </w:style>
  <w:style w:type="character" w:customStyle="1" w:styleId="HeaderChar">
    <w:name w:val="Header Char"/>
    <w:basedOn w:val="DefaultParagraphFont"/>
    <w:link w:val="Header"/>
    <w:uiPriority w:val="99"/>
    <w:rsid w:val="002258E4"/>
  </w:style>
  <w:style w:type="paragraph" w:styleId="Footer">
    <w:name w:val="footer"/>
    <w:basedOn w:val="Normal"/>
    <w:link w:val="FooterChar"/>
    <w:uiPriority w:val="99"/>
    <w:unhideWhenUsed/>
    <w:rsid w:val="002258E4"/>
    <w:pPr>
      <w:tabs>
        <w:tab w:val="center" w:pos="4680"/>
        <w:tab w:val="right" w:pos="9360"/>
      </w:tabs>
    </w:pPr>
  </w:style>
  <w:style w:type="character" w:customStyle="1" w:styleId="FooterChar">
    <w:name w:val="Footer Char"/>
    <w:basedOn w:val="DefaultParagraphFont"/>
    <w:link w:val="Footer"/>
    <w:uiPriority w:val="99"/>
    <w:rsid w:val="002258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7UXYYRIzI1sJ4471i6uH7zl/Hg==">CgMxLjA4AHIhMTZUSlNSVW1Zc1hDQnFsU2p4RGtkSDczYlhnN1hTd1FF</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43D91-9EB4-4859-98E1-64D0F5E03205}">
  <ds:schemaRefs>
    <ds:schemaRef ds:uri="http://schemas.microsoft.com/office/2006/metadata/properties"/>
    <ds:schemaRef ds:uri="http://schemas.microsoft.com/office/infopath/2007/PartnerControls"/>
    <ds:schemaRef ds:uri="89c6c834-5500-4d34-8d4a-2e90563177f5"/>
  </ds:schemaRefs>
</ds:datastoreItem>
</file>

<file path=customXml/itemProps2.xml><?xml version="1.0" encoding="utf-8"?>
<ds:datastoreItem xmlns:ds="http://schemas.openxmlformats.org/officeDocument/2006/customXml" ds:itemID="{3ACDDA8C-AA7F-4666-8465-A04963867D5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7F90969-84A8-47B8-940C-569C903CF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6c834-5500-4d34-8d4a-2e90563177f5"/>
    <ds:schemaRef ds:uri="8cc82467-8cb5-4206-ba7c-5e39ccabe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1765</Words>
  <Characters>10806</Characters>
  <Application>Microsoft Office Word</Application>
  <DocSecurity>0</DocSecurity>
  <Lines>203</Lines>
  <Paragraphs>111</Paragraphs>
  <ScaleCrop>false</ScaleCrop>
  <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Cecilia Crews</cp:lastModifiedBy>
  <cp:revision>14</cp:revision>
  <dcterms:created xsi:type="dcterms:W3CDTF">2026-03-16T20:07:00Z</dcterms:created>
  <dcterms:modified xsi:type="dcterms:W3CDTF">2026-03-17T15:15:00Z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2026-03-07T16:50:41Z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34e48ed5-d02d-485f-bc48-d500c809d939</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y fmtid="{D5CDD505-2E9C-101B-9397-08002B2CF9AE}" pid="11" name="MediaServiceImageTags">
    <vt:lpwstr/>
  </property>
</Properties>
</file>