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E26F74" w14:paraId="7F895209"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2C4D84E6" w14:textId="77777777" w:rsidR="00E26F74" w:rsidRDefault="00450471">
            <w:r>
              <w:rPr>
                <w:rFonts w:ascii="Arial" w:eastAsia="Arial" w:hAnsi="Arial" w:cs="Arial"/>
                <w:b/>
                <w:bCs/>
                <w:color w:val="FFFFFF"/>
                <w:sz w:val="16"/>
                <w:szCs w:val="16"/>
              </w:rPr>
              <w:t>THE FORMULA FOR BETTER HEALTH  ·  CASE STUDY: SEE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34F03E0D" w14:textId="77777777" w:rsidR="00E26F74" w:rsidRDefault="00450471">
            <w:pPr>
              <w:jc w:val="center"/>
            </w:pPr>
            <w:r>
              <w:rPr>
                <w:rFonts w:ascii="Arial" w:eastAsia="Arial" w:hAnsi="Arial" w:cs="Arial"/>
                <w:b/>
                <w:bCs/>
                <w:color w:val="444444"/>
                <w:sz w:val="16"/>
                <w:szCs w:val="16"/>
              </w:rPr>
              <w:t>STUDENT HANDOUT</w:t>
            </w:r>
          </w:p>
        </w:tc>
      </w:tr>
    </w:tbl>
    <w:p w14:paraId="521D10E4" w14:textId="51813D78" w:rsidR="00E26F74" w:rsidRDefault="00450471">
      <w:pPr>
        <w:spacing w:before="200" w:after="60"/>
      </w:pPr>
      <w:r>
        <w:rPr>
          <w:b/>
          <w:bCs/>
          <w:sz w:val="36"/>
          <w:szCs w:val="36"/>
        </w:rPr>
        <w:t>SIDS: Evidence, Rigor, and RCTs—Student Case Handout</w:t>
      </w:r>
    </w:p>
    <w:p w14:paraId="401DCAC7" w14:textId="77777777" w:rsidR="00E26F74" w:rsidRDefault="00E26F74">
      <w:pPr>
        <w:pBdr>
          <w:bottom w:val="single" w:sz="4" w:space="0" w:color="008B8B"/>
        </w:pBdr>
      </w:pPr>
    </w:p>
    <w:p w14:paraId="51F906DD" w14:textId="77777777" w:rsidR="00E26F74" w:rsidRDefault="00450471">
      <w:pPr>
        <w:spacing w:before="280" w:after="100"/>
      </w:pPr>
      <w:r>
        <w:rPr>
          <w:b/>
          <w:bCs/>
          <w:caps/>
          <w:color w:val="222222"/>
          <w:sz w:val="22"/>
          <w:szCs w:val="22"/>
        </w:rPr>
        <w:t>Required Reading</w:t>
      </w:r>
    </w:p>
    <w:p w14:paraId="59892C91" w14:textId="77777777" w:rsidR="00E26F74" w:rsidRDefault="00450471">
      <w:pPr>
        <w:spacing w:before="40" w:after="80"/>
        <w:ind w:left="360" w:hanging="280"/>
      </w:pPr>
      <w:r>
        <w:rPr>
          <w:sz w:val="24"/>
          <w:szCs w:val="24"/>
        </w:rPr>
        <w:t>• Frieden, Thomas R. The Formula for Better Health: How to Save Millions of Lives – Including Your Own. MIT Press, 2025. Chapter 3: The Pathway to Progress</w:t>
      </w:r>
    </w:p>
    <w:p w14:paraId="7E7FA02C" w14:textId="77777777" w:rsidR="00E26F74" w:rsidRDefault="00450471">
      <w:pPr>
        <w:spacing w:before="280" w:after="100"/>
      </w:pPr>
      <w:r>
        <w:rPr>
          <w:b/>
          <w:bCs/>
          <w:caps/>
          <w:color w:val="222222"/>
          <w:sz w:val="22"/>
          <w:szCs w:val="22"/>
        </w:rPr>
        <w:t>Preparation Question</w:t>
      </w:r>
    </w:p>
    <w:p w14:paraId="0130AE9A" w14:textId="77777777" w:rsidR="00E26F74" w:rsidRDefault="00450471">
      <w:pPr>
        <w:spacing w:after="160"/>
      </w:pPr>
      <w:r>
        <w:rPr>
          <w:sz w:val="24"/>
          <w:szCs w:val="24"/>
        </w:rPr>
        <w:t>Before class, write two to three sentences in response to: You encounter a systematic review concluding that “there is insufficient high-quality RCT evidence” to support a particular public health intervention. What does this finding tell you? What does it not tell you? What would you want to know before deciding whether to act on the available evidence?</w:t>
      </w:r>
    </w:p>
    <w:p w14:paraId="43A6EBBD" w14:textId="77777777" w:rsidR="00E26F74" w:rsidRDefault="00450471">
      <w:pPr>
        <w:spacing w:before="280" w:after="100"/>
      </w:pPr>
      <w:r>
        <w:rPr>
          <w:b/>
          <w:bCs/>
          <w:caps/>
          <w:color w:val="222222"/>
          <w:sz w:val="22"/>
          <w:szCs w:val="22"/>
        </w:rPr>
        <w:t>The Case</w:t>
      </w:r>
    </w:p>
    <w:p w14:paraId="75AE886D" w14:textId="146121C4" w:rsidR="00E26F74" w:rsidRDefault="00450471">
      <w:pPr>
        <w:spacing w:after="160"/>
      </w:pPr>
      <w:r>
        <w:rPr>
          <w:sz w:val="24"/>
          <w:szCs w:val="24"/>
        </w:rPr>
        <w:t>Sudden infant death syndrome, SIDS, killed thousands of otherwise healthy infants every year. The cause was unknown. No treatment existed. No prevention was known. And no randomized controlled trial had been—or could be—conducted to find one.</w:t>
      </w:r>
    </w:p>
    <w:p w14:paraId="43B4AFF0" w14:textId="6D590855" w:rsidR="00E26F74" w:rsidRDefault="00450471">
      <w:pPr>
        <w:spacing w:after="160"/>
      </w:pPr>
      <w:r>
        <w:rPr>
          <w:sz w:val="24"/>
          <w:szCs w:val="24"/>
        </w:rPr>
        <w:t>Dr. Ed Mitchell trained as a pediatrician in London, grew impatient with the hierarchical culture of British medicine, and moved to New Zealand. He arrived just as the health department was under pressure to investigate an unexplained cluster of infant deaths. As the most junior member of his department, Mitchell was assigned the job no one else wanted: reviewing deaths that occurred outside the hospital.</w:t>
      </w:r>
    </w:p>
    <w:p w14:paraId="05CE6B13" w14:textId="77777777" w:rsidR="00E26F74" w:rsidRDefault="00450471">
      <w:pPr>
        <w:spacing w:after="160"/>
      </w:pPr>
      <w:r>
        <w:rPr>
          <w:sz w:val="24"/>
          <w:szCs w:val="24"/>
        </w:rPr>
        <w:t>What he found stunned him. Many infants died suddenly and unexpectedly—otherwise healthy babies who went to sleep and did not wake up. These deaths had been invisible to hospital physicians, who never saw these patients. “We kept hearing the same story,” Mitchell said. “It was heartbreaking.”</w:t>
      </w:r>
    </w:p>
    <w:p w14:paraId="5AEE660F" w14:textId="0BA1A48F" w:rsidR="00E26F74" w:rsidRDefault="00450471">
      <w:pPr>
        <w:spacing w:after="160"/>
      </w:pPr>
      <w:r>
        <w:rPr>
          <w:sz w:val="24"/>
          <w:szCs w:val="24"/>
        </w:rPr>
        <w:t>Dr. Shirley Tonkin, an Auckland health department doctor, had spent years visiting families whose infants had died at home. She noticed that many apparently healthy babies had been placed to sleep on their stomach. Dr. Susan Beal had made the same observation. At Tonkin’s insistence, Mitchell added sleep position to his review of infant deaths.</w:t>
      </w:r>
    </w:p>
    <w:p w14:paraId="06CE2319" w14:textId="77777777" w:rsidR="00E26F74" w:rsidRDefault="00450471">
      <w:pPr>
        <w:spacing w:after="160"/>
      </w:pPr>
      <w:r>
        <w:rPr>
          <w:sz w:val="24"/>
          <w:szCs w:val="24"/>
        </w:rPr>
        <w:t>The review confirmed a strong pattern: many infants who died suddenly had been placed prone. But a pattern alone does not establish cause. Maybe all babies were put to sleep that way. Mitchell’s team launched a three-year case-control study, comparing infants who had died to infants who had not.</w:t>
      </w:r>
    </w:p>
    <w:p w14:paraId="2D251ACC" w14:textId="77777777" w:rsidR="00E26F74" w:rsidRDefault="00450471">
      <w:pPr>
        <w:spacing w:after="160"/>
      </w:pPr>
      <w:r>
        <w:rPr>
          <w:sz w:val="24"/>
          <w:szCs w:val="24"/>
        </w:rPr>
        <w:t>On sabbatical in London after the first year of data, Mitchell tried to make sense of what he was seeing. “As a pediatrician, I couldn’t believe something as simple as placing babies prone could increase the risk of sudden death substantially. Basically thought it was rubbish.” He showed the data to a prominent statistician, who calculated on the back of an envelope that most SIDS deaths were attributable to prone sleeping. The association was striking: it is rare for a single risk factor to account for more than half of deaths from any cause.</w:t>
      </w:r>
    </w:p>
    <w:p w14:paraId="0381DE1A" w14:textId="65B76119" w:rsidR="00E26F74" w:rsidRDefault="00450471">
      <w:pPr>
        <w:spacing w:after="160"/>
      </w:pPr>
      <w:r>
        <w:rPr>
          <w:sz w:val="24"/>
          <w:szCs w:val="24"/>
        </w:rPr>
        <w:t>The evidence was not definitive</w:t>
      </w:r>
      <w:r w:rsidR="0049713A">
        <w:rPr>
          <w:sz w:val="24"/>
          <w:szCs w:val="24"/>
        </w:rPr>
        <w:t xml:space="preserve"> – </w:t>
      </w:r>
      <w:r>
        <w:rPr>
          <w:sz w:val="24"/>
          <w:szCs w:val="24"/>
        </w:rPr>
        <w:t>but it was strong enough. New Zealand launched the Back to Sleep campaign, educating parents to place infants on their backs. SIDS deaths declined spectacularly. The campaign proved the hypothesis: prone sleeping causes SIDS. To this day, no one knows exactly why.</w:t>
      </w:r>
    </w:p>
    <w:p w14:paraId="0A3678AC" w14:textId="77777777" w:rsidR="0049713A" w:rsidRDefault="0049713A">
      <w:pPr>
        <w:rPr>
          <w:b/>
          <w:bCs/>
          <w:caps/>
          <w:color w:val="222222"/>
          <w:sz w:val="22"/>
          <w:szCs w:val="22"/>
        </w:rPr>
      </w:pPr>
      <w:r>
        <w:rPr>
          <w:b/>
          <w:bCs/>
          <w:caps/>
          <w:color w:val="222222"/>
          <w:sz w:val="22"/>
          <w:szCs w:val="22"/>
        </w:rPr>
        <w:br w:type="page"/>
      </w:r>
    </w:p>
    <w:p w14:paraId="283244B1" w14:textId="4714F637" w:rsidR="00E26F74" w:rsidRDefault="00450471">
      <w:pPr>
        <w:spacing w:before="280" w:after="100"/>
      </w:pPr>
      <w:r>
        <w:rPr>
          <w:b/>
          <w:bCs/>
          <w:caps/>
          <w:color w:val="222222"/>
          <w:sz w:val="22"/>
          <w:szCs w:val="22"/>
        </w:rPr>
        <w:lastRenderedPageBreak/>
        <w:t>Program-Based Evidence</w:t>
      </w:r>
    </w:p>
    <w:p w14:paraId="36FE09C1" w14:textId="4366D68F" w:rsidR="00E26F74" w:rsidRDefault="00450471">
      <w:pPr>
        <w:spacing w:after="160"/>
      </w:pPr>
      <w:r>
        <w:rPr>
          <w:sz w:val="24"/>
          <w:szCs w:val="24"/>
        </w:rPr>
        <w:t>The standard account of “evidence-based medicine” implies a linear sequence: conduct an RCT, get definitive results, act. The SIDS story followed a different sequence</w:t>
      </w:r>
      <w:r w:rsidR="0049713A">
        <w:t xml:space="preserve">. </w:t>
      </w:r>
      <w:r>
        <w:rPr>
          <w:sz w:val="24"/>
          <w:szCs w:val="24"/>
        </w:rPr>
        <w:t xml:space="preserve">An RCT to test whether prone sleeping causes SIDS would have required randomizing thousands of infants to sleep on their stomachs—exposing them to a risk. It would have taken years. Adherence would have been impractical. </w:t>
      </w:r>
    </w:p>
    <w:p w14:paraId="4AC8F5D2" w14:textId="5F749FB9" w:rsidR="00E26F74" w:rsidRDefault="00450471">
      <w:pPr>
        <w:spacing w:after="160"/>
      </w:pPr>
      <w:r>
        <w:rPr>
          <w:sz w:val="24"/>
          <w:szCs w:val="24"/>
        </w:rPr>
        <w:t>What Mitchell used instead was program-based evidence: a rigorous observational study followed by a monitored program. The New Zealand government did not wait for certainty</w:t>
      </w:r>
      <w:r w:rsidR="0049713A">
        <w:rPr>
          <w:sz w:val="24"/>
          <w:szCs w:val="24"/>
        </w:rPr>
        <w:t>, i</w:t>
      </w:r>
      <w:r>
        <w:rPr>
          <w:sz w:val="24"/>
          <w:szCs w:val="24"/>
        </w:rPr>
        <w:t>t waited for evidence</w:t>
      </w:r>
      <w:r w:rsidR="0049713A">
        <w:rPr>
          <w:sz w:val="24"/>
          <w:szCs w:val="24"/>
        </w:rPr>
        <w:t xml:space="preserve"> </w:t>
      </w:r>
      <w:r>
        <w:rPr>
          <w:sz w:val="24"/>
          <w:szCs w:val="24"/>
        </w:rPr>
        <w:t>rigorous enough for the decision at hand. Then it implemented</w:t>
      </w:r>
      <w:r w:rsidR="0049713A">
        <w:rPr>
          <w:sz w:val="24"/>
          <w:szCs w:val="24"/>
        </w:rPr>
        <w:t xml:space="preserve"> and</w:t>
      </w:r>
      <w:r>
        <w:rPr>
          <w:sz w:val="24"/>
          <w:szCs w:val="24"/>
        </w:rPr>
        <w:t xml:space="preserve"> monitored outcomes. The dramatic decline in SIDS deaths provided the confirmation.</w:t>
      </w:r>
    </w:p>
    <w:p w14:paraId="1A8B68C9" w14:textId="6691A88A" w:rsidR="00E26F74" w:rsidRDefault="00450471">
      <w:pPr>
        <w:spacing w:after="160"/>
      </w:pPr>
      <w:r>
        <w:rPr>
          <w:sz w:val="24"/>
          <w:szCs w:val="24"/>
        </w:rPr>
        <w:t xml:space="preserve">This is not a lower standard than an RCT. It is the appropriate standard for a different kind of question. The chapter calls both approaches—evidence-based programs and program-based evidence—forms of technical rigor. </w:t>
      </w:r>
      <w:r w:rsidR="0049713A">
        <w:rPr>
          <w:sz w:val="24"/>
          <w:szCs w:val="24"/>
        </w:rPr>
        <w:t>Technical rigor</w:t>
      </w:r>
      <w:r>
        <w:rPr>
          <w:sz w:val="24"/>
          <w:szCs w:val="24"/>
        </w:rPr>
        <w:t xml:space="preserve"> it is the systematic collection and honest interpretation of</w:t>
      </w:r>
      <w:r w:rsidR="0049713A">
        <w:rPr>
          <w:sz w:val="24"/>
          <w:szCs w:val="24"/>
        </w:rPr>
        <w:t xml:space="preserve"> the strengths and weaknesses of different types of</w:t>
      </w:r>
      <w:r>
        <w:rPr>
          <w:sz w:val="24"/>
          <w:szCs w:val="24"/>
        </w:rPr>
        <w:t xml:space="preserve"> evidence, whatever form that evidence takes.</w:t>
      </w:r>
    </w:p>
    <w:p w14:paraId="713FA548" w14:textId="77777777" w:rsidR="00E26F74" w:rsidRDefault="00450471">
      <w:pPr>
        <w:spacing w:before="280" w:after="100"/>
      </w:pPr>
      <w:r>
        <w:rPr>
          <w:b/>
          <w:bCs/>
          <w:caps/>
          <w:color w:val="222222"/>
          <w:sz w:val="22"/>
          <w:szCs w:val="22"/>
        </w:rPr>
        <w:t>The Right Tool for the Right Job</w:t>
      </w:r>
    </w:p>
    <w:p w14:paraId="7D312DD7" w14:textId="7A32F69A" w:rsidR="00E26F74" w:rsidRDefault="00450471">
      <w:pPr>
        <w:spacing w:after="160"/>
      </w:pPr>
      <w:r>
        <w:rPr>
          <w:sz w:val="24"/>
          <w:szCs w:val="24"/>
        </w:rPr>
        <w:t>A sledgehammer is a great tool—</w:t>
      </w:r>
      <w:r w:rsidR="0049713A">
        <w:rPr>
          <w:sz w:val="24"/>
          <w:szCs w:val="24"/>
        </w:rPr>
        <w:t>to</w:t>
      </w:r>
      <w:r>
        <w:rPr>
          <w:sz w:val="24"/>
          <w:szCs w:val="24"/>
        </w:rPr>
        <w:t xml:space="preserve"> demolish a wall or driving a stake. It is not the right tool for adjusting eyeglasses. Randomized controlled trials are among the most powerful tools in the evidence toolkit. </w:t>
      </w:r>
      <w:r w:rsidR="0049713A">
        <w:rPr>
          <w:sz w:val="24"/>
          <w:szCs w:val="24"/>
        </w:rPr>
        <w:t>To</w:t>
      </w:r>
      <w:r>
        <w:rPr>
          <w:sz w:val="24"/>
          <w:szCs w:val="24"/>
        </w:rPr>
        <w:t xml:space="preserve"> compar</w:t>
      </w:r>
      <w:r w:rsidR="0049713A">
        <w:rPr>
          <w:sz w:val="24"/>
          <w:szCs w:val="24"/>
        </w:rPr>
        <w:t>e</w:t>
      </w:r>
      <w:r>
        <w:rPr>
          <w:sz w:val="24"/>
          <w:szCs w:val="24"/>
        </w:rPr>
        <w:t xml:space="preserve"> two medications in a defined clinical population, they are often ideal. Patients are randomly assigned to treatment groups; neither patients nor clinicians know who received which treatment; confounding is controlled by design. When the question is “which pill works better for this condition in this population?” the RCT is the right instrument.</w:t>
      </w:r>
    </w:p>
    <w:p w14:paraId="5E43AE84" w14:textId="000B2399" w:rsidR="00E26F74" w:rsidRDefault="00450471">
      <w:pPr>
        <w:spacing w:after="160"/>
      </w:pPr>
      <w:r>
        <w:rPr>
          <w:sz w:val="24"/>
          <w:szCs w:val="24"/>
        </w:rPr>
        <w:t>But many of the most important public health questions can</w:t>
      </w:r>
      <w:r w:rsidR="0049713A">
        <w:rPr>
          <w:sz w:val="24"/>
          <w:szCs w:val="24"/>
        </w:rPr>
        <w:t>’</w:t>
      </w:r>
      <w:r>
        <w:rPr>
          <w:sz w:val="24"/>
          <w:szCs w:val="24"/>
        </w:rPr>
        <w:t>t be addressed by RCTs. You cannot randomize a country to a tobacco tax policy.</w:t>
      </w:r>
      <w:r w:rsidR="0049713A">
        <w:rPr>
          <w:sz w:val="24"/>
          <w:szCs w:val="24"/>
        </w:rPr>
        <w:t xml:space="preserve"> </w:t>
      </w:r>
      <w:r>
        <w:rPr>
          <w:sz w:val="24"/>
          <w:szCs w:val="24"/>
        </w:rPr>
        <w:t>Treating the RCT as the universal gold standard produces a systematic error: it dismisses as “insufficient evidence” all the evidence that exists for questions where RCTs are impossible</w:t>
      </w:r>
      <w:r w:rsidR="0049713A">
        <w:rPr>
          <w:sz w:val="24"/>
          <w:szCs w:val="24"/>
        </w:rPr>
        <w:t xml:space="preserve">, </w:t>
      </w:r>
      <w:r>
        <w:rPr>
          <w:sz w:val="24"/>
          <w:szCs w:val="24"/>
        </w:rPr>
        <w:t>unethical</w:t>
      </w:r>
      <w:r w:rsidR="0049713A">
        <w:rPr>
          <w:sz w:val="24"/>
          <w:szCs w:val="24"/>
        </w:rPr>
        <w:t>, or not the best form of evidence</w:t>
      </w:r>
      <w:r>
        <w:rPr>
          <w:sz w:val="24"/>
          <w:szCs w:val="24"/>
        </w:rPr>
        <w:t>. Interventions that could save lives—tobacco taxation, sleep position campaigns, sodium reduction—face demands for a standard of proof that cannot be met, not because the evidence is weak but because the question cannot be randomized.</w:t>
      </w:r>
    </w:p>
    <w:p w14:paraId="658AE31B" w14:textId="77777777" w:rsidR="00E26F74" w:rsidRDefault="00450471">
      <w:pPr>
        <w:spacing w:after="160"/>
      </w:pPr>
      <w:r>
        <w:rPr>
          <w:sz w:val="24"/>
          <w:szCs w:val="24"/>
        </w:rPr>
        <w:t>The RCT fallacy is not only an intellectual error. It is a tool of obstruction. Industries that profit from harmful products have learned to deploy it strategically: demand RCT evidence for policies that cannot be tested in RCTs, then argue that “insufficient RCT evidence” means the intervention does not work.</w:t>
      </w:r>
    </w:p>
    <w:p w14:paraId="1C3764E4" w14:textId="77777777" w:rsidR="00E26F74" w:rsidRDefault="00450471">
      <w:pPr>
        <w:spacing w:before="280" w:after="100"/>
      </w:pPr>
      <w:r>
        <w:rPr>
          <w:b/>
          <w:bCs/>
          <w:caps/>
          <w:color w:val="222222"/>
          <w:sz w:val="22"/>
          <w:szCs w:val="22"/>
        </w:rPr>
        <w:t>When RCTs Fail: The Nasal Spray Case</w:t>
      </w:r>
    </w:p>
    <w:p w14:paraId="14264FC1" w14:textId="77777777" w:rsidR="00E26F74" w:rsidRDefault="00450471">
      <w:pPr>
        <w:spacing w:after="160"/>
      </w:pPr>
      <w:r>
        <w:rPr>
          <w:sz w:val="24"/>
          <w:szCs w:val="24"/>
        </w:rPr>
        <w:t>RCTs can also be wrong—not because of methodological error but because a study that is internally valid in one context may not apply to a different context. This is the distinction between internal validity and external validity.</w:t>
      </w:r>
    </w:p>
    <w:p w14:paraId="1CCE592F" w14:textId="77777777" w:rsidR="00E26F74" w:rsidRDefault="00450471">
      <w:pPr>
        <w:spacing w:after="160"/>
      </w:pPr>
      <w:r>
        <w:rPr>
          <w:sz w:val="24"/>
          <w:szCs w:val="24"/>
        </w:rPr>
        <w:t>In 2003, a nasal-spray formulation of influenza vaccine was licensed. By 2014, several well-designed RCTs had shown it to be superior to the injected vaccine for healthy children aged two to eight. The evidence was internally valid: the RCTs correctly measured effectiveness in the populations they studied under study conditions.</w:t>
      </w:r>
    </w:p>
    <w:p w14:paraId="33403126" w14:textId="77777777" w:rsidR="00E26F74" w:rsidRDefault="00450471">
      <w:pPr>
        <w:spacing w:after="160"/>
      </w:pPr>
      <w:r>
        <w:rPr>
          <w:sz w:val="24"/>
          <w:szCs w:val="24"/>
        </w:rPr>
        <w:t>The following year, real-world surveillance showed the nasal-spray vaccine was no better than the injected vaccine. Subsequently, it was found to be completely ineffective against the most common circulating influenza strain and was not recommended until the manufacturer reformulated it. The RCT evidence was internally valid—correct for the populations studied in the trials. It had low external validity: the findings did not apply to a population exposed to different influenza strains after the trial ended.</w:t>
      </w:r>
    </w:p>
    <w:p w14:paraId="40AA46D0" w14:textId="4661530A" w:rsidR="00E26F74" w:rsidRDefault="00450471">
      <w:pPr>
        <w:spacing w:after="160"/>
      </w:pPr>
      <w:r>
        <w:rPr>
          <w:sz w:val="24"/>
          <w:szCs w:val="24"/>
        </w:rPr>
        <w:lastRenderedPageBreak/>
        <w:t>The lesson is not that RCTs are unreliable. It is that even a rigorous RCT is evidence about what happened in the trial, under those conditions, in that population. Whether it applies to a different context—different pathogen strains, different health systems, different populations—is a separate question. In this case, real-world surveillance was the more accurate guide.</w:t>
      </w:r>
    </w:p>
    <w:p w14:paraId="5F6B6264" w14:textId="77777777" w:rsidR="00E26F74" w:rsidRDefault="00450471">
      <w:pPr>
        <w:spacing w:before="280" w:after="100"/>
      </w:pPr>
      <w:r>
        <w:rPr>
          <w:b/>
          <w:bCs/>
          <w:caps/>
          <w:color w:val="222222"/>
          <w:sz w:val="22"/>
          <w:szCs w:val="22"/>
        </w:rPr>
        <w:t>Humility and Real Rigor</w:t>
      </w:r>
    </w:p>
    <w:p w14:paraId="35AA8573" w14:textId="406FD9AD" w:rsidR="00E26F74" w:rsidRDefault="00450471">
      <w:pPr>
        <w:spacing w:after="160"/>
      </w:pPr>
      <w:r>
        <w:rPr>
          <w:sz w:val="24"/>
          <w:szCs w:val="24"/>
        </w:rPr>
        <w:t>Dr. George Comstock was one of the great epidemiologists of the twentieth century—methodical, rigorous, and humble. His landmark studies established that one in ten people infected with the tuberculosis bacterium developed active disease, with about half developing it within two years of infection. These were foundational findings</w:t>
      </w:r>
      <w:r w:rsidR="0049713A">
        <w:rPr>
          <w:sz w:val="24"/>
          <w:szCs w:val="24"/>
        </w:rPr>
        <w:t xml:space="preserve"> – and were based, in large part, on RCTs.</w:t>
      </w:r>
    </w:p>
    <w:p w14:paraId="69CE4E90" w14:textId="77777777" w:rsidR="00E26F74" w:rsidRDefault="00450471">
      <w:pPr>
        <w:spacing w:after="160"/>
      </w:pPr>
      <w:r>
        <w:rPr>
          <w:sz w:val="24"/>
          <w:szCs w:val="24"/>
        </w:rPr>
        <w:t>Years later, Comstock published an article calling for replication of his own results—not because he doubted his methods, but because he understood what his methods could not guarantee. His response, when asked why: “That was then, this is now. The bacteria might have changed. The nutritional status of infected people might have changed. The inoculum might have changed. We won’t know unless we study it.”</w:t>
      </w:r>
    </w:p>
    <w:p w14:paraId="2AA8D696" w14:textId="77777777" w:rsidR="00E26F74" w:rsidRDefault="00450471">
      <w:pPr>
        <w:spacing w:after="160"/>
      </w:pPr>
      <w:r>
        <w:rPr>
          <w:sz w:val="24"/>
          <w:szCs w:val="24"/>
        </w:rPr>
        <w:t>This is what technical rigor looks like at its best: not the confidence that your study was right, but the recognition that even excellent evidence is evidence about a specific time, population, and context. As those things change, the evidence must be updated. The willingness to say so is not weakness. It is the highest form of scientific integrity.</w:t>
      </w:r>
    </w:p>
    <w:p w14:paraId="2A3CFE07" w14:textId="77777777" w:rsidR="00E26F74" w:rsidRDefault="00450471">
      <w:pPr>
        <w:spacing w:before="280" w:after="100"/>
      </w:pPr>
      <w:r>
        <w:rPr>
          <w:b/>
          <w:bCs/>
          <w:caps/>
          <w:color w:val="222222"/>
          <w:sz w:val="22"/>
          <w:szCs w:val="22"/>
        </w:rPr>
        <w:t>Discussion Questions</w:t>
      </w:r>
    </w:p>
    <w:p w14:paraId="00EA1B9A" w14:textId="77777777" w:rsidR="00E26F74" w:rsidRDefault="00450471">
      <w:pPr>
        <w:spacing w:after="160"/>
      </w:pPr>
      <w:r>
        <w:rPr>
          <w:b/>
          <w:bCs/>
          <w:sz w:val="24"/>
          <w:szCs w:val="24"/>
        </w:rPr>
        <w:t>1.</w:t>
      </w:r>
      <w:r>
        <w:rPr>
          <w:sz w:val="24"/>
          <w:szCs w:val="24"/>
        </w:rPr>
        <w:t xml:space="preserve"> What is program-based evidence, and how does it differ from evidence-based programs? The SIDS case is often described as a success of observational epidemiology. What made the evidence sufficient to act on—before a full RCT was complete? What would the cost of waiting for RCT evidence have been?</w:t>
      </w:r>
    </w:p>
    <w:p w14:paraId="30319A3E" w14:textId="77777777" w:rsidR="00E26F74" w:rsidRDefault="00450471">
      <w:pPr>
        <w:spacing w:after="160"/>
      </w:pPr>
      <w:r>
        <w:rPr>
          <w:b/>
          <w:bCs/>
          <w:sz w:val="24"/>
          <w:szCs w:val="24"/>
        </w:rPr>
        <w:t>2.</w:t>
      </w:r>
      <w:r>
        <w:rPr>
          <w:sz w:val="24"/>
          <w:szCs w:val="24"/>
        </w:rPr>
        <w:t xml:space="preserve"> A pharmaceutical company develops a new blood pressure medication and conducts a rigorous RCT showing it reduces cardiovascular events by 20 percent compared to placebo. A public health researcher proposes a national sodium reduction campaign and is told there is “insufficient RCT evidence.” Using the book’s framework, what is wrong with treating both proposals by the same evidentiary standard?</w:t>
      </w:r>
    </w:p>
    <w:p w14:paraId="79F7184F" w14:textId="77777777" w:rsidR="00E26F74" w:rsidRDefault="00450471">
      <w:pPr>
        <w:spacing w:after="160"/>
      </w:pPr>
      <w:r>
        <w:rPr>
          <w:b/>
          <w:bCs/>
          <w:sz w:val="24"/>
          <w:szCs w:val="24"/>
        </w:rPr>
        <w:t>3.</w:t>
      </w:r>
      <w:r>
        <w:rPr>
          <w:sz w:val="24"/>
          <w:szCs w:val="24"/>
        </w:rPr>
        <w:t xml:space="preserve"> Dr. Comstock’s call for replication of his own findings is described in the chapter as an expression of technical rigor, not self-doubt. What does this tell us about the relationship between confidence in your evidence and willingness to act on it? How should a public health official handle strong evidence that may not generalize to a changed context?</w:t>
      </w:r>
    </w:p>
    <w:p w14:paraId="176C8799" w14:textId="77777777" w:rsidR="00E26F74" w:rsidRDefault="00450471">
      <w:pPr>
        <w:spacing w:before="280" w:after="100"/>
      </w:pPr>
      <w:r>
        <w:rPr>
          <w:b/>
          <w:bCs/>
          <w:caps/>
          <w:color w:val="222222"/>
          <w:sz w:val="22"/>
          <w:szCs w:val="22"/>
        </w:rPr>
        <w:t>Small-Group Discussion Topics</w:t>
      </w:r>
    </w:p>
    <w:p w14:paraId="399AC23D" w14:textId="77777777" w:rsidR="00E26F74" w:rsidRDefault="00450471">
      <w:pPr>
        <w:spacing w:after="160"/>
      </w:pPr>
      <w:r>
        <w:rPr>
          <w:b/>
          <w:bCs/>
          <w:sz w:val="24"/>
          <w:szCs w:val="24"/>
        </w:rPr>
        <w:t>1.</w:t>
      </w:r>
      <w:r>
        <w:rPr>
          <w:sz w:val="24"/>
          <w:szCs w:val="24"/>
        </w:rPr>
        <w:t xml:space="preserve"> Select a public health question in a field you know. Is this a question for which an RCT is the right tool? If yes, what would the RCT look like—what would the randomization unit be, how long would follow-up take, what outcome would you measure? If no, explain why not, and identify what forms of evidence are available. Assess those forms of evidence on their own terms: what do they show, what are their limitations, and what level of confidence do they support?</w:t>
      </w:r>
    </w:p>
    <w:p w14:paraId="011A66D8" w14:textId="42788E5C" w:rsidR="00E26F74" w:rsidRDefault="00450471">
      <w:pPr>
        <w:spacing w:after="160"/>
      </w:pPr>
      <w:r>
        <w:rPr>
          <w:b/>
          <w:bCs/>
          <w:sz w:val="24"/>
          <w:szCs w:val="24"/>
        </w:rPr>
        <w:t>2.</w:t>
      </w:r>
      <w:r>
        <w:rPr>
          <w:sz w:val="24"/>
          <w:szCs w:val="24"/>
        </w:rPr>
        <w:t xml:space="preserve"> </w:t>
      </w:r>
      <w:r w:rsidR="00DF76B1" w:rsidRPr="00DF76B1">
        <w:rPr>
          <w:sz w:val="24"/>
          <w:szCs w:val="24"/>
        </w:rPr>
        <w:t>Choose a public health question (e.g., blood alcohol limits, handgun regulations, soda taxation). Design a program-based evidence approach. What would the implementation look like? What would you monitor? What outcome would confirm or refute the hypothesis?</w:t>
      </w:r>
      <w:r w:rsidR="00DF76B1">
        <w:t xml:space="preserve"> </w:t>
      </w:r>
    </w:p>
    <w:sectPr w:rsidR="00E26F74">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E55B" w14:textId="77777777" w:rsidR="00D02054" w:rsidRDefault="00D02054">
      <w:r>
        <w:separator/>
      </w:r>
    </w:p>
  </w:endnote>
  <w:endnote w:type="continuationSeparator" w:id="0">
    <w:p w14:paraId="3AC47922" w14:textId="77777777" w:rsidR="00D02054" w:rsidRDefault="00D0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3193" w14:textId="7A1CEA16" w:rsidR="00E26F74" w:rsidRDefault="00450471">
    <w:pPr>
      <w:jc w:val="center"/>
    </w:pPr>
    <w:r>
      <w:rPr>
        <w:color w:val="888888"/>
        <w:sz w:val="18"/>
        <w:szCs w:val="18"/>
      </w:rPr>
      <w:t xml:space="preserve">The Formula for Better Health  ·  MIT Press, 2025  ·  </w:t>
    </w:r>
    <w:r w:rsidR="0030133F">
      <w:rPr>
        <w:color w:val="888888"/>
        <w:sz w:val="18"/>
        <w:szCs w:val="18"/>
      </w:rPr>
      <w:t>theformulaforbetterhealth.net/</w:t>
    </w:r>
    <w:r w:rsidR="0030133F">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E3D5" w14:textId="77777777" w:rsidR="00D02054" w:rsidRDefault="00D02054">
      <w:r>
        <w:separator/>
      </w:r>
    </w:p>
  </w:footnote>
  <w:footnote w:type="continuationSeparator" w:id="0">
    <w:p w14:paraId="70D9F8E4" w14:textId="77777777" w:rsidR="00D02054" w:rsidRDefault="00D0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85B4A"/>
    <w:multiLevelType w:val="hybridMultilevel"/>
    <w:tmpl w:val="012C5912"/>
    <w:lvl w:ilvl="0" w:tplc="892E1F7E">
      <w:start w:val="1"/>
      <w:numFmt w:val="bullet"/>
      <w:lvlText w:val="●"/>
      <w:lvlJc w:val="left"/>
      <w:pPr>
        <w:ind w:left="720" w:hanging="360"/>
      </w:pPr>
    </w:lvl>
    <w:lvl w:ilvl="1" w:tplc="9A482E94">
      <w:start w:val="1"/>
      <w:numFmt w:val="bullet"/>
      <w:lvlText w:val="○"/>
      <w:lvlJc w:val="left"/>
      <w:pPr>
        <w:ind w:left="1440" w:hanging="360"/>
      </w:pPr>
    </w:lvl>
    <w:lvl w:ilvl="2" w:tplc="4634885A">
      <w:start w:val="1"/>
      <w:numFmt w:val="bullet"/>
      <w:lvlText w:val="■"/>
      <w:lvlJc w:val="left"/>
      <w:pPr>
        <w:ind w:left="2160" w:hanging="360"/>
      </w:pPr>
    </w:lvl>
    <w:lvl w:ilvl="3" w:tplc="7C24DE32">
      <w:start w:val="1"/>
      <w:numFmt w:val="bullet"/>
      <w:lvlText w:val="●"/>
      <w:lvlJc w:val="left"/>
      <w:pPr>
        <w:ind w:left="2880" w:hanging="360"/>
      </w:pPr>
    </w:lvl>
    <w:lvl w:ilvl="4" w:tplc="CB4E0440">
      <w:start w:val="1"/>
      <w:numFmt w:val="bullet"/>
      <w:lvlText w:val="○"/>
      <w:lvlJc w:val="left"/>
      <w:pPr>
        <w:ind w:left="3600" w:hanging="360"/>
      </w:pPr>
    </w:lvl>
    <w:lvl w:ilvl="5" w:tplc="7F08C914">
      <w:start w:val="1"/>
      <w:numFmt w:val="bullet"/>
      <w:lvlText w:val="■"/>
      <w:lvlJc w:val="left"/>
      <w:pPr>
        <w:ind w:left="4320" w:hanging="360"/>
      </w:pPr>
    </w:lvl>
    <w:lvl w:ilvl="6" w:tplc="A44ED794">
      <w:start w:val="1"/>
      <w:numFmt w:val="bullet"/>
      <w:lvlText w:val="●"/>
      <w:lvlJc w:val="left"/>
      <w:pPr>
        <w:ind w:left="5040" w:hanging="360"/>
      </w:pPr>
    </w:lvl>
    <w:lvl w:ilvl="7" w:tplc="E0604404">
      <w:start w:val="1"/>
      <w:numFmt w:val="bullet"/>
      <w:lvlText w:val="●"/>
      <w:lvlJc w:val="left"/>
      <w:pPr>
        <w:ind w:left="5760" w:hanging="360"/>
      </w:pPr>
    </w:lvl>
    <w:lvl w:ilvl="8" w:tplc="BF3290F8">
      <w:start w:val="1"/>
      <w:numFmt w:val="bullet"/>
      <w:lvlText w:val="●"/>
      <w:lvlJc w:val="left"/>
      <w:pPr>
        <w:ind w:left="6480" w:hanging="360"/>
      </w:pPr>
    </w:lvl>
  </w:abstractNum>
  <w:num w:numId="1" w16cid:durableId="280962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74"/>
    <w:rsid w:val="0030133F"/>
    <w:rsid w:val="00450471"/>
    <w:rsid w:val="0049713A"/>
    <w:rsid w:val="006F0101"/>
    <w:rsid w:val="00957C8C"/>
    <w:rsid w:val="009A6748"/>
    <w:rsid w:val="00B466FB"/>
    <w:rsid w:val="00C30566"/>
    <w:rsid w:val="00D02054"/>
    <w:rsid w:val="00DF76B1"/>
    <w:rsid w:val="00E2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830EE"/>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0133F"/>
    <w:pPr>
      <w:tabs>
        <w:tab w:val="center" w:pos="4680"/>
        <w:tab w:val="right" w:pos="9360"/>
      </w:tabs>
    </w:pPr>
  </w:style>
  <w:style w:type="character" w:customStyle="1" w:styleId="HeaderChar">
    <w:name w:val="Header Char"/>
    <w:basedOn w:val="DefaultParagraphFont"/>
    <w:link w:val="Header"/>
    <w:uiPriority w:val="99"/>
    <w:rsid w:val="0030133F"/>
  </w:style>
  <w:style w:type="paragraph" w:styleId="Footer">
    <w:name w:val="footer"/>
    <w:basedOn w:val="Normal"/>
    <w:link w:val="FooterChar"/>
    <w:uiPriority w:val="99"/>
    <w:unhideWhenUsed/>
    <w:rsid w:val="0030133F"/>
    <w:pPr>
      <w:tabs>
        <w:tab w:val="center" w:pos="4680"/>
        <w:tab w:val="right" w:pos="9360"/>
      </w:tabs>
    </w:pPr>
  </w:style>
  <w:style w:type="character" w:customStyle="1" w:styleId="FooterChar">
    <w:name w:val="Footer Char"/>
    <w:basedOn w:val="DefaultParagraphFont"/>
    <w:link w:val="Footer"/>
    <w:uiPriority w:val="99"/>
    <w:rsid w:val="0030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47AB7E-6FB6-4133-A4AE-CF45C60A3E7A}">
  <ds:schemaRefs>
    <ds:schemaRef ds:uri="http://schemas.microsoft.com/sharepoint/v3/contenttype/forms"/>
  </ds:schemaRefs>
</ds:datastoreItem>
</file>

<file path=customXml/itemProps2.xml><?xml version="1.0" encoding="utf-8"?>
<ds:datastoreItem xmlns:ds="http://schemas.openxmlformats.org/officeDocument/2006/customXml" ds:itemID="{C86536B6-E489-4FDB-8BFF-E22794939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6CA04-A26A-4316-89FF-19DC22D720FC}">
  <ds:schemaRefs>
    <ds:schemaRef ds:uri="http://schemas.microsoft.com/office/2006/metadata/properties"/>
    <ds:schemaRef ds:uri="http://schemas.microsoft.com/office/infopath/2007/PartnerControls"/>
    <ds:schemaRef ds:uri="89c6c834-5500-4d34-8d4a-2e90563177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1628</Words>
  <Characters>8652</Characters>
  <Application>Microsoft Office Word</Application>
  <DocSecurity>0</DocSecurity>
  <Lines>123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3</cp:revision>
  <dcterms:created xsi:type="dcterms:W3CDTF">2026-03-16T20:28:00Z</dcterms:created>
  <dcterms:modified xsi:type="dcterms:W3CDTF">2026-03-16T21:09:00Z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2026-03-08T17:01:22Z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b6d46884-638c-4a8b-8617-ea278e88e762</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