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9D053C" w14:paraId="69A12945"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28BFC44F" w14:textId="77777777" w:rsidR="009D053C" w:rsidRDefault="008F6F83">
            <w:r>
              <w:rPr>
                <w:rFonts w:ascii="Arial" w:eastAsia="Arial" w:hAnsi="Arial" w:cs="Arial"/>
                <w:b/>
                <w:bCs/>
                <w:color w:val="FFFFFF"/>
                <w:sz w:val="16"/>
                <w:szCs w:val="16"/>
              </w:rPr>
              <w:t>THE FORMULA FOR BETTER HEALTH  ·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5FDAD819" w14:textId="77777777" w:rsidR="009D053C" w:rsidRDefault="008F6F83">
            <w:pPr>
              <w:jc w:val="center"/>
            </w:pPr>
            <w:r>
              <w:rPr>
                <w:rFonts w:ascii="Arial" w:eastAsia="Arial" w:hAnsi="Arial" w:cs="Arial"/>
                <w:b/>
                <w:bCs/>
                <w:color w:val="444444"/>
                <w:sz w:val="16"/>
                <w:szCs w:val="16"/>
              </w:rPr>
              <w:t>INSTRUCTOR GUIDE</w:t>
            </w:r>
          </w:p>
        </w:tc>
      </w:tr>
    </w:tbl>
    <w:p w14:paraId="66B93560" w14:textId="77777777" w:rsidR="009D053C" w:rsidRDefault="008F6F83">
      <w:pPr>
        <w:spacing w:before="200" w:after="60"/>
      </w:pPr>
      <w:r>
        <w:rPr>
          <w:b/>
          <w:bCs/>
          <w:sz w:val="36"/>
          <w:szCs w:val="36"/>
        </w:rPr>
        <w:t>Smoke-Free New York: Politics, Strategy, and Progress Despite Opposition—Instructor Guide</w:t>
      </w:r>
    </w:p>
    <w:p w14:paraId="6A4180A2" w14:textId="77777777" w:rsidR="009D053C" w:rsidRDefault="009D053C">
      <w:pPr>
        <w:pBdr>
          <w:bottom w:val="single" w:sz="4" w:space="0" w:color="008B8B"/>
        </w:pBdr>
      </w:pPr>
    </w:p>
    <w:p w14:paraId="6DF0C21B" w14:textId="77777777" w:rsidR="009D053C" w:rsidRDefault="008F6F83">
      <w:pPr>
        <w:spacing w:before="280" w:after="100"/>
      </w:pPr>
      <w:r>
        <w:rPr>
          <w:b/>
          <w:bCs/>
          <w:caps/>
          <w:color w:val="222222"/>
          <w:sz w:val="22"/>
          <w:szCs w:val="22"/>
        </w:rPr>
        <w:t>Purpose</w:t>
      </w:r>
    </w:p>
    <w:p w14:paraId="48537E4B" w14:textId="77777777" w:rsidR="009D053C" w:rsidRDefault="008F6F83">
      <w:pPr>
        <w:spacing w:after="160"/>
      </w:pPr>
      <w:r>
        <w:rPr>
          <w:sz w:val="24"/>
          <w:szCs w:val="24"/>
        </w:rPr>
        <w:t>This guide supports teaching of the New York City Smoke-Free Air Act case study in courses on public health practice, public health policy, public health law, or political strategy. The case illustrates that passing effective public health legislation requires rigorous political competence—specifically, the ability to identify winners and losers, reach deciders through their influencers, build advocacy coalitions that make diffuse benefits visible and urgent, and find pragmatic solutions that meet political constraints without sacrificing health outcomes. The case pushes students past the comfortable but analytically empty answer that public health fails because of insufficient ‘political will.’</w:t>
      </w:r>
    </w:p>
    <w:p w14:paraId="4620E015" w14:textId="77777777" w:rsidR="009D053C" w:rsidRDefault="008F6F83">
      <w:pPr>
        <w:spacing w:after="160"/>
      </w:pPr>
      <w:r>
        <w:rPr>
          <w:sz w:val="24"/>
          <w:szCs w:val="24"/>
        </w:rPr>
        <w:t>The student handout stands alone. This guide adds facilitation guidance, key points to surface, and a post-class synthesis.</w:t>
      </w:r>
    </w:p>
    <w:p w14:paraId="7641617D" w14:textId="77777777" w:rsidR="009D053C" w:rsidRDefault="008F6F83">
      <w:pPr>
        <w:spacing w:before="280" w:after="100"/>
      </w:pPr>
      <w:r>
        <w:rPr>
          <w:b/>
          <w:bCs/>
          <w:caps/>
          <w:color w:val="222222"/>
          <w:sz w:val="22"/>
          <w:szCs w:val="22"/>
        </w:rPr>
        <w:t>Course Fit and Suggested Use</w:t>
      </w:r>
    </w:p>
    <w:p w14:paraId="4545ECC6" w14:textId="77777777" w:rsidR="009D053C" w:rsidRDefault="008F6F83">
      <w:pPr>
        <w:spacing w:after="160"/>
      </w:pPr>
      <w:r>
        <w:rPr>
          <w:b/>
          <w:bCs/>
          <w:sz w:val="24"/>
          <w:szCs w:val="24"/>
        </w:rPr>
        <w:t>Best fit:</w:t>
      </w:r>
      <w:r>
        <w:rPr>
          <w:sz w:val="24"/>
          <w:szCs w:val="24"/>
        </w:rPr>
        <w:t xml:space="preserve"> public health policy, public health law, public health practice, introduction to public health, or political strategy courses.</w:t>
      </w:r>
    </w:p>
    <w:p w14:paraId="26994538" w14:textId="77777777" w:rsidR="009D053C" w:rsidRDefault="008F6F83">
      <w:pPr>
        <w:spacing w:after="160"/>
      </w:pPr>
      <w:r>
        <w:rPr>
          <w:b/>
          <w:bCs/>
          <w:sz w:val="24"/>
          <w:szCs w:val="24"/>
        </w:rPr>
        <w:t>Level:</w:t>
      </w:r>
      <w:r>
        <w:rPr>
          <w:sz w:val="24"/>
          <w:szCs w:val="24"/>
        </w:rPr>
        <w:t xml:space="preserve"> upper-level undergraduate or graduate.</w:t>
      </w:r>
    </w:p>
    <w:p w14:paraId="61012E4A" w14:textId="77777777" w:rsidR="009D053C" w:rsidRDefault="008F6F83">
      <w:pPr>
        <w:spacing w:after="160"/>
      </w:pPr>
      <w:r>
        <w:rPr>
          <w:b/>
          <w:bCs/>
          <w:sz w:val="24"/>
          <w:szCs w:val="24"/>
        </w:rPr>
        <w:t>Time:</w:t>
      </w:r>
      <w:r>
        <w:rPr>
          <w:sz w:val="24"/>
          <w:szCs w:val="24"/>
        </w:rPr>
        <w:t xml:space="preserve"> one 60-minute session. Can extend to 90 minutes with small-group stakeholder mapping.</w:t>
      </w:r>
    </w:p>
    <w:p w14:paraId="0559A886" w14:textId="77777777" w:rsidR="009D053C" w:rsidRDefault="008F6F83">
      <w:pPr>
        <w:spacing w:after="160"/>
      </w:pPr>
      <w:r>
        <w:rPr>
          <w:b/>
          <w:bCs/>
          <w:sz w:val="24"/>
          <w:szCs w:val="24"/>
        </w:rPr>
        <w:t>Placement:</w:t>
      </w:r>
      <w:r>
        <w:rPr>
          <w:sz w:val="24"/>
          <w:szCs w:val="24"/>
        </w:rPr>
        <w:t xml:space="preserve"> works well after students have read Chapter 8 of </w:t>
      </w:r>
      <w:r>
        <w:rPr>
          <w:i/>
          <w:iCs/>
          <w:sz w:val="24"/>
          <w:szCs w:val="24"/>
        </w:rPr>
        <w:t>The Formula for Better Health</w:t>
      </w:r>
      <w:r>
        <w:rPr>
          <w:sz w:val="24"/>
          <w:szCs w:val="24"/>
        </w:rPr>
        <w:t xml:space="preserve"> and have been introduced to basic political economy concepts (concentrated losses, diffuse benefits).</w:t>
      </w:r>
    </w:p>
    <w:p w14:paraId="5BA2D5C6" w14:textId="77777777" w:rsidR="009D053C" w:rsidRDefault="008F6F83">
      <w:pPr>
        <w:spacing w:before="280" w:after="100"/>
      </w:pPr>
      <w:r>
        <w:rPr>
          <w:b/>
          <w:bCs/>
          <w:caps/>
          <w:color w:val="222222"/>
          <w:sz w:val="22"/>
          <w:szCs w:val="22"/>
        </w:rPr>
        <w:t>Learning Objectives</w:t>
      </w:r>
    </w:p>
    <w:p w14:paraId="10EFF682" w14:textId="77777777" w:rsidR="009D053C" w:rsidRDefault="008F6F83">
      <w:pPr>
        <w:spacing w:after="160"/>
      </w:pPr>
      <w:r>
        <w:rPr>
          <w:sz w:val="24"/>
          <w:szCs w:val="24"/>
        </w:rPr>
        <w:t>By the end of the session, students should be able to:</w:t>
      </w:r>
    </w:p>
    <w:p w14:paraId="60D08A14" w14:textId="77777777" w:rsidR="009D053C" w:rsidRDefault="008F6F83">
      <w:pPr>
        <w:spacing w:before="40" w:after="80"/>
        <w:ind w:left="360" w:hanging="280"/>
      </w:pPr>
      <w:r>
        <w:rPr>
          <w:sz w:val="24"/>
          <w:szCs w:val="24"/>
        </w:rPr>
        <w:t>• Identify the winners and losers a proposed public health policy creates and explain how the asymmetry between them shapes political outcomes.</w:t>
      </w:r>
    </w:p>
    <w:p w14:paraId="3B4E0B97" w14:textId="77777777" w:rsidR="009D053C" w:rsidRDefault="008F6F83">
      <w:pPr>
        <w:spacing w:before="40" w:after="80"/>
        <w:ind w:left="360" w:hanging="280"/>
      </w:pPr>
      <w:r>
        <w:rPr>
          <w:sz w:val="24"/>
          <w:szCs w:val="24"/>
        </w:rPr>
        <w:t>• Distinguish deciders from influencers and design a strategy for reaching decision-makers at the right moment in the policy process.</w:t>
      </w:r>
    </w:p>
    <w:p w14:paraId="3C1F7008" w14:textId="77777777" w:rsidR="009D053C" w:rsidRDefault="008F6F83">
      <w:pPr>
        <w:spacing w:before="40" w:after="80"/>
        <w:ind w:left="360" w:hanging="280"/>
      </w:pPr>
      <w:r>
        <w:rPr>
          <w:sz w:val="24"/>
          <w:szCs w:val="24"/>
        </w:rPr>
        <w:t>• Explain why advocates and advocacy coalitions—particularly affected individuals—are indispensable to public health campaigns and why agencies alone cannot fill that role.</w:t>
      </w:r>
    </w:p>
    <w:p w14:paraId="1D19A405" w14:textId="77777777" w:rsidR="009D053C" w:rsidRDefault="008F6F83">
      <w:pPr>
        <w:spacing w:before="40" w:after="80"/>
        <w:ind w:left="360" w:hanging="280"/>
      </w:pPr>
      <w:r>
        <w:rPr>
          <w:sz w:val="24"/>
          <w:szCs w:val="24"/>
        </w:rPr>
        <w:t>• Distinguish a compromise that protects a law’s effectiveness from one that undermines it.</w:t>
      </w:r>
    </w:p>
    <w:p w14:paraId="7BB627BC" w14:textId="77777777" w:rsidR="009D053C" w:rsidRDefault="008F6F83">
      <w:pPr>
        <w:spacing w:before="40" w:after="80"/>
        <w:ind w:left="360" w:hanging="280"/>
      </w:pPr>
      <w:r>
        <w:rPr>
          <w:sz w:val="24"/>
          <w:szCs w:val="24"/>
        </w:rPr>
        <w:t>• Apply the principle ‘do the hard things first’ to understand the timing of public health action within a political cycle.</w:t>
      </w:r>
    </w:p>
    <w:p w14:paraId="161F41EC" w14:textId="77777777" w:rsidR="009D053C" w:rsidRDefault="008F6F83">
      <w:pPr>
        <w:spacing w:before="280" w:after="100"/>
      </w:pPr>
      <w:r>
        <w:rPr>
          <w:b/>
          <w:bCs/>
          <w:caps/>
          <w:color w:val="222222"/>
          <w:sz w:val="22"/>
          <w:szCs w:val="22"/>
        </w:rPr>
        <w:t>Session Structure (60 minutes)</w:t>
      </w:r>
    </w:p>
    <w:p w14:paraId="4830C07E" w14:textId="77777777" w:rsidR="009D053C" w:rsidRDefault="008F6F83">
      <w:pPr>
        <w:spacing w:after="160"/>
      </w:pPr>
      <w:r>
        <w:rPr>
          <w:b/>
          <w:bCs/>
          <w:sz w:val="24"/>
          <w:szCs w:val="24"/>
        </w:rPr>
        <w:t>0–5 min</w:t>
      </w:r>
      <w:r>
        <w:rPr>
          <w:sz w:val="24"/>
          <w:szCs w:val="24"/>
        </w:rPr>
        <w:t xml:space="preserve"> — Opening hook: Ask two or three students to read their preparation question responses aloud. Do not comment yet—let the contrast between the soda tax failure and the smoke-free law success surface.</w:t>
      </w:r>
    </w:p>
    <w:p w14:paraId="11557FBD" w14:textId="77777777" w:rsidR="009D053C" w:rsidRDefault="008F6F83">
      <w:pPr>
        <w:spacing w:after="160"/>
      </w:pPr>
      <w:r>
        <w:rPr>
          <w:b/>
          <w:bCs/>
          <w:sz w:val="24"/>
          <w:szCs w:val="24"/>
        </w:rPr>
        <w:t>5–15 min</w:t>
      </w:r>
      <w:r>
        <w:rPr>
          <w:sz w:val="24"/>
          <w:szCs w:val="24"/>
        </w:rPr>
        <w:t xml:space="preserve"> — Brief lecture: context, the four-part political framework, and the two cases.</w:t>
      </w:r>
    </w:p>
    <w:p w14:paraId="18122099" w14:textId="797511BB" w:rsidR="009D053C" w:rsidRDefault="008F6F83" w:rsidP="00846972">
      <w:pPr>
        <w:tabs>
          <w:tab w:val="left" w:pos="6983"/>
        </w:tabs>
        <w:spacing w:after="160"/>
      </w:pPr>
      <w:r>
        <w:rPr>
          <w:b/>
          <w:bCs/>
          <w:sz w:val="24"/>
          <w:szCs w:val="24"/>
        </w:rPr>
        <w:t>15–35 min</w:t>
      </w:r>
      <w:r>
        <w:rPr>
          <w:sz w:val="24"/>
          <w:szCs w:val="24"/>
        </w:rPr>
        <w:t xml:space="preserve"> — Small-group discussion on the three main questions.</w:t>
      </w:r>
      <w:r w:rsidR="00846972">
        <w:rPr>
          <w:sz w:val="24"/>
          <w:szCs w:val="24"/>
        </w:rPr>
        <w:tab/>
      </w:r>
    </w:p>
    <w:p w14:paraId="0A794422" w14:textId="77777777" w:rsidR="009D053C" w:rsidRDefault="008F6F83">
      <w:pPr>
        <w:spacing w:after="160"/>
      </w:pPr>
      <w:r>
        <w:rPr>
          <w:b/>
          <w:bCs/>
          <w:sz w:val="24"/>
          <w:szCs w:val="24"/>
        </w:rPr>
        <w:lastRenderedPageBreak/>
        <w:t>35–55 min</w:t>
      </w:r>
      <w:r>
        <w:rPr>
          <w:sz w:val="24"/>
          <w:szCs w:val="24"/>
        </w:rPr>
        <w:t xml:space="preserve"> — Full-class discussion.</w:t>
      </w:r>
    </w:p>
    <w:p w14:paraId="693788D1" w14:textId="77777777" w:rsidR="009D053C" w:rsidRDefault="008F6F83">
      <w:pPr>
        <w:spacing w:after="160"/>
      </w:pPr>
      <w:r>
        <w:rPr>
          <w:b/>
          <w:bCs/>
          <w:sz w:val="24"/>
          <w:szCs w:val="24"/>
        </w:rPr>
        <w:t>55–60 min</w:t>
      </w:r>
      <w:r>
        <w:rPr>
          <w:sz w:val="24"/>
          <w:szCs w:val="24"/>
        </w:rPr>
        <w:t xml:space="preserve"> — Synthesis: What distinguishes effective political strategy from ‘political will’?</w:t>
      </w:r>
    </w:p>
    <w:p w14:paraId="1288AA2C" w14:textId="77777777" w:rsidR="009D053C" w:rsidRDefault="008F6F83">
      <w:pPr>
        <w:spacing w:before="200" w:after="80"/>
      </w:pPr>
      <w:r>
        <w:rPr>
          <w:b/>
          <w:bCs/>
          <w:sz w:val="24"/>
          <w:szCs w:val="24"/>
        </w:rPr>
        <w:t>Opening (0–5 min)</w:t>
      </w:r>
    </w:p>
    <w:p w14:paraId="1FF51135" w14:textId="77777777" w:rsidR="009D053C" w:rsidRDefault="008F6F83">
      <w:pPr>
        <w:spacing w:after="160"/>
      </w:pPr>
      <w:r>
        <w:rPr>
          <w:sz w:val="24"/>
          <w:szCs w:val="24"/>
        </w:rPr>
        <w:t>Ask two or three students to read their preparation question responses aloud. The preparation question asks why the smoke-free law succeeded and the soda tax failed. Do not correct anyone—let the variety of answers surface. Responses will likely cluster around: Bloomberg was more powerful; bars were less organized than the beverage industry; the health evidence was different. All of these are partially right. The goal of the opening is to identify what’s missing from those answers—a systematic framework for political strategy.</w:t>
      </w:r>
    </w:p>
    <w:p w14:paraId="17A1F313" w14:textId="77777777" w:rsidR="009D053C" w:rsidRDefault="008F6F83">
      <w:pPr>
        <w:spacing w:before="200" w:after="80"/>
      </w:pPr>
      <w:r>
        <w:rPr>
          <w:b/>
          <w:bCs/>
          <w:sz w:val="24"/>
          <w:szCs w:val="24"/>
        </w:rPr>
        <w:t>Brief Lecture: The Four-Part Framework (5–15 min)</w:t>
      </w:r>
    </w:p>
    <w:p w14:paraId="3AF6EB0E" w14:textId="77777777" w:rsidR="009D053C" w:rsidRDefault="008F6F83">
      <w:pPr>
        <w:spacing w:after="160"/>
      </w:pPr>
      <w:r>
        <w:rPr>
          <w:sz w:val="24"/>
          <w:szCs w:val="24"/>
        </w:rPr>
        <w:t>Cover these points concisely. Students have read the handout; this is framing, not repetition.</w:t>
      </w:r>
    </w:p>
    <w:p w14:paraId="2DA4590B" w14:textId="77777777" w:rsidR="009D053C" w:rsidRDefault="008F6F83">
      <w:pPr>
        <w:spacing w:before="40" w:after="80"/>
        <w:ind w:left="360" w:hanging="280"/>
      </w:pPr>
      <w:r>
        <w:rPr>
          <w:sz w:val="24"/>
          <w:szCs w:val="24"/>
        </w:rPr>
        <w:t>• </w:t>
      </w:r>
      <w:r>
        <w:rPr>
          <w:b/>
          <w:bCs/>
          <w:sz w:val="24"/>
          <w:szCs w:val="24"/>
        </w:rPr>
        <w:t>Winners and losers:</w:t>
      </w:r>
      <w:r>
        <w:rPr>
          <w:sz w:val="24"/>
          <w:szCs w:val="24"/>
        </w:rPr>
        <w:t xml:space="preserve"> Every public health policy creates concentrated, organized losers and diffuse, unorganized winners. This asymmetry determines the baseline political difficulty of any intervention. The smoke-free law faced it; the soda tax faced it more severely. The question is not how to avoid the asymmetry but how to overcome it.</w:t>
      </w:r>
    </w:p>
    <w:p w14:paraId="14F8D67D" w14:textId="77777777" w:rsidR="009D053C" w:rsidRDefault="008F6F83">
      <w:pPr>
        <w:spacing w:before="40" w:after="80"/>
        <w:ind w:left="360" w:hanging="280"/>
      </w:pPr>
      <w:r>
        <w:rPr>
          <w:sz w:val="24"/>
          <w:szCs w:val="24"/>
        </w:rPr>
        <w:t>• </w:t>
      </w:r>
      <w:r>
        <w:rPr>
          <w:b/>
          <w:bCs/>
          <w:sz w:val="24"/>
          <w:szCs w:val="24"/>
        </w:rPr>
        <w:t>Deciders and influencers:</w:t>
      </w:r>
      <w:r>
        <w:rPr>
          <w:sz w:val="24"/>
          <w:szCs w:val="24"/>
        </w:rPr>
        <w:t xml:space="preserve"> Politicians pass laws, not industries. Progress requires knowing which politicians hold decision-making authority, who influences them, and when in the political cycle to engage. Cherner reached future deciders before they held office, when their positions were still negotiable. That written record became structural leverage.</w:t>
      </w:r>
    </w:p>
    <w:p w14:paraId="29492492" w14:textId="77777777" w:rsidR="009D053C" w:rsidRDefault="008F6F83">
      <w:pPr>
        <w:spacing w:before="40" w:after="80"/>
        <w:ind w:left="360" w:hanging="280"/>
      </w:pPr>
      <w:r>
        <w:rPr>
          <w:sz w:val="24"/>
          <w:szCs w:val="24"/>
        </w:rPr>
        <w:t>• </w:t>
      </w:r>
      <w:r>
        <w:rPr>
          <w:b/>
          <w:bCs/>
          <w:sz w:val="24"/>
          <w:szCs w:val="24"/>
        </w:rPr>
        <w:t>Advocates and partnerships:</w:t>
      </w:r>
      <w:r>
        <w:rPr>
          <w:sz w:val="24"/>
          <w:szCs w:val="24"/>
        </w:rPr>
        <w:t xml:space="preserve"> Public health agencies cannot advocate for their own programs. Outside advocates—coalition organizations and, most powerfully, affected individuals—make diffuse benefits visible and emotionally real. </w:t>
      </w:r>
      <w:proofErr w:type="spellStart"/>
      <w:r>
        <w:rPr>
          <w:sz w:val="24"/>
          <w:szCs w:val="24"/>
        </w:rPr>
        <w:t>Martinah</w:t>
      </w:r>
      <w:proofErr w:type="spellEnd"/>
      <w:r>
        <w:rPr>
          <w:sz w:val="24"/>
          <w:szCs w:val="24"/>
        </w:rPr>
        <w:t xml:space="preserve"> Payne-Yehuda’s testimony did what no epidemiological briefing could.</w:t>
      </w:r>
    </w:p>
    <w:p w14:paraId="760CC07D" w14:textId="77777777" w:rsidR="009D053C" w:rsidRDefault="008F6F83">
      <w:pPr>
        <w:spacing w:before="40" w:after="80"/>
        <w:ind w:left="360" w:hanging="280"/>
      </w:pPr>
      <w:r>
        <w:rPr>
          <w:sz w:val="24"/>
          <w:szCs w:val="24"/>
        </w:rPr>
        <w:t>• </w:t>
      </w:r>
      <w:r>
        <w:rPr>
          <w:b/>
          <w:bCs/>
          <w:sz w:val="24"/>
          <w:szCs w:val="24"/>
        </w:rPr>
        <w:t>Pragmatism and timing:</w:t>
      </w:r>
      <w:r>
        <w:rPr>
          <w:sz w:val="24"/>
          <w:szCs w:val="24"/>
        </w:rPr>
        <w:t xml:space="preserve"> Two timing principles from the case. First: do the hard things first, while political capital is greatest. Second: when a political obstacle appears, ask whether it can be met without compromising the substance of the law. The engineering specifications for smoking rooms were not a compromise—they were a creative solution that preserved the law’s effectiveness while meeting the speaker’s political constraint.</w:t>
      </w:r>
    </w:p>
    <w:p w14:paraId="6241783D" w14:textId="77777777" w:rsidR="009D053C" w:rsidRDefault="008F6F83">
      <w:pPr>
        <w:spacing w:after="160"/>
      </w:pPr>
      <w:r>
        <w:rPr>
          <w:sz w:val="24"/>
          <w:szCs w:val="24"/>
        </w:rPr>
        <w:t xml:space="preserve">Core framing: </w:t>
      </w:r>
      <w:r>
        <w:rPr>
          <w:b/>
          <w:bCs/>
          <w:sz w:val="24"/>
          <w:szCs w:val="24"/>
        </w:rPr>
        <w:t>Political skill is a form of competence.</w:t>
      </w:r>
      <w:r>
        <w:rPr>
          <w:sz w:val="24"/>
          <w:szCs w:val="24"/>
        </w:rPr>
        <w:t xml:space="preserve"> The case asks students to describe specific mechanisms, not invoke ‘political will’ as an explanation. Anyone who says the law passed because Bloomberg ‘had the will’ should be asked: What specifically did that will enable? What would have happened differently without it?</w:t>
      </w:r>
    </w:p>
    <w:p w14:paraId="04AEAD88" w14:textId="77777777" w:rsidR="009D053C" w:rsidRDefault="008F6F83">
      <w:pPr>
        <w:spacing w:before="280" w:after="100"/>
      </w:pPr>
      <w:r>
        <w:rPr>
          <w:b/>
          <w:bCs/>
          <w:caps/>
          <w:color w:val="222222"/>
          <w:sz w:val="22"/>
          <w:szCs w:val="22"/>
        </w:rPr>
        <w:t>Discussion Question Guidance</w:t>
      </w:r>
    </w:p>
    <w:p w14:paraId="3C43E710" w14:textId="77777777" w:rsidR="009D053C" w:rsidRDefault="008F6F83">
      <w:pPr>
        <w:spacing w:after="200"/>
      </w:pPr>
      <w:r>
        <w:rPr>
          <w:i/>
          <w:iCs/>
          <w:sz w:val="24"/>
          <w:szCs w:val="24"/>
        </w:rPr>
        <w:t>Preparation question (repeated from handout): New York City passed a law banning smoking in bars and restaurants in 2003—one of the first major cities in the world to do so. A state-level soda tax backed by the same mayor and governor failed in 2010. The evidence for both was strong. Why did one succeed and the other fail?</w:t>
      </w:r>
    </w:p>
    <w:p w14:paraId="1404348C" w14:textId="77777777" w:rsidR="009D053C" w:rsidRDefault="008F6F83">
      <w:pPr>
        <w:spacing w:before="200" w:after="80"/>
      </w:pPr>
      <w:r>
        <w:rPr>
          <w:b/>
          <w:bCs/>
          <w:sz w:val="24"/>
          <w:szCs w:val="24"/>
        </w:rPr>
        <w:t>Question 1 — Why Did One Succeed and the Other Fail?</w:t>
      </w:r>
    </w:p>
    <w:p w14:paraId="00608946" w14:textId="77777777" w:rsidR="009D053C" w:rsidRDefault="008F6F83">
      <w:pPr>
        <w:spacing w:after="200"/>
      </w:pPr>
      <w:r>
        <w:rPr>
          <w:i/>
          <w:iCs/>
          <w:sz w:val="24"/>
          <w:szCs w:val="24"/>
        </w:rPr>
        <w:t>Discussion question: The soda tax and the Smoke-Free Air Act both had strong evidence, high-profile backing, and significant public health value. Why did one fail in Albany and the other succeed in New York City? What specific differences in the political strategy explain the outcome?</w:t>
      </w:r>
    </w:p>
    <w:p w14:paraId="127EEE91" w14:textId="77777777" w:rsidR="009D053C" w:rsidRDefault="008F6F83">
      <w:pPr>
        <w:spacing w:after="160"/>
      </w:pPr>
      <w:r>
        <w:rPr>
          <w:sz w:val="24"/>
          <w:szCs w:val="24"/>
        </w:rPr>
        <w:t>This is the analytical core of the session. Push students past surface explanations (Bloomberg was powerful; the beverage industry was bigger) toward the structural mechanisms.</w:t>
      </w:r>
    </w:p>
    <w:p w14:paraId="2A92E3A1" w14:textId="77777777" w:rsidR="009D053C" w:rsidRDefault="008F6F83">
      <w:pPr>
        <w:spacing w:after="160"/>
      </w:pPr>
      <w:r>
        <w:rPr>
          <w:sz w:val="24"/>
          <w:szCs w:val="24"/>
        </w:rPr>
        <w:lastRenderedPageBreak/>
        <w:t xml:space="preserve">Both cases faced the same fundamental problem: concentrated losers organized against diffuse winners. In the soda tax case, the beverage industry ran a coordinated multi-front campaign while the winners had no equivalent structure. In the smoke-free case, the advocacy coalition organized the winners: BREATHE, the American Lung Association, affected workers. </w:t>
      </w:r>
      <w:proofErr w:type="spellStart"/>
      <w:r>
        <w:rPr>
          <w:sz w:val="24"/>
          <w:szCs w:val="24"/>
        </w:rPr>
        <w:t>Martinah</w:t>
      </w:r>
      <w:proofErr w:type="spellEnd"/>
      <w:r>
        <w:rPr>
          <w:sz w:val="24"/>
          <w:szCs w:val="24"/>
        </w:rPr>
        <w:t xml:space="preserve"> Payne-Yehuda personified diffuse benefits in a way that made institutional opposition politically costly.</w:t>
      </w:r>
    </w:p>
    <w:p w14:paraId="60336D1C" w14:textId="77777777" w:rsidR="009D053C" w:rsidRDefault="008F6F83">
      <w:pPr>
        <w:spacing w:after="160"/>
      </w:pPr>
      <w:r>
        <w:rPr>
          <w:sz w:val="24"/>
          <w:szCs w:val="24"/>
        </w:rPr>
        <w:t>A second difference: deciders. For the soda tax, the decision required a majority in the state legislature, where the industry’s geographic reach gave it structural advantage. For the smoke-free law, Bloomberg controlled the health department’s agenda and had self-financed his election. Ask students to map both: who were the deciders in each case, and what leverage did the industry have over each?</w:t>
      </w:r>
    </w:p>
    <w:p w14:paraId="2FEDC47B" w14:textId="2B0D112C" w:rsidR="009D053C" w:rsidRDefault="008F6F83">
      <w:pPr>
        <w:spacing w:after="160"/>
      </w:pPr>
      <w:r>
        <w:rPr>
          <w:sz w:val="24"/>
          <w:szCs w:val="24"/>
        </w:rPr>
        <w:t>The lesson: the outcome was not determined by evidence strength. It was determined by who organized the winners, which deciders had to be convinced, and what leverage the opposition held over them.</w:t>
      </w:r>
      <w:r w:rsidR="009F2203">
        <w:rPr>
          <w:sz w:val="24"/>
          <w:szCs w:val="24"/>
        </w:rPr>
        <w:t xml:space="preserve"> This doesn’t imply that the soda tax was winnable, but that analysis of the landscape might have resulted in more strategic efforts and a greater chance at passage.</w:t>
      </w:r>
    </w:p>
    <w:p w14:paraId="4F977F72" w14:textId="77777777" w:rsidR="009D053C" w:rsidRDefault="008F6F83">
      <w:pPr>
        <w:spacing w:before="200" w:after="80"/>
      </w:pPr>
      <w:r>
        <w:rPr>
          <w:b/>
          <w:bCs/>
          <w:sz w:val="24"/>
          <w:szCs w:val="24"/>
        </w:rPr>
        <w:t>Question 2 — Why Did Pre-Election Surveys Matter?</w:t>
      </w:r>
    </w:p>
    <w:p w14:paraId="02010D50" w14:textId="77777777" w:rsidR="009D053C" w:rsidRDefault="008F6F83">
      <w:pPr>
        <w:spacing w:after="200"/>
      </w:pPr>
      <w:r>
        <w:rPr>
          <w:i/>
          <w:iCs/>
          <w:sz w:val="24"/>
          <w:szCs w:val="24"/>
        </w:rPr>
        <w:t>Discussion question: Joe Cherner surveyed all candidates before the 2001 election and posted their written commitments publicly. Why did this matter more than lobbying elected officials after the law was proposed? What does this tell us about when advocacy on public health policy must begin?</w:t>
      </w:r>
    </w:p>
    <w:p w14:paraId="7D6861D1" w14:textId="77777777" w:rsidR="009D053C" w:rsidRDefault="008F6F83">
      <w:pPr>
        <w:spacing w:after="160"/>
      </w:pPr>
      <w:r>
        <w:rPr>
          <w:sz w:val="24"/>
          <w:szCs w:val="24"/>
        </w:rPr>
        <w:t>Students will likely underestimate the significance of this strategy. The mechanism: Cherner forced candidates to take a public position when the cost of commitment was low and the cost of reversal later was high. Once a politician has made a public, written commitment, reversing it is visible and creates a narrative of unreliability. The written record was structural constraint on future behavior, not rhetorical.</w:t>
      </w:r>
    </w:p>
    <w:p w14:paraId="287D9221" w14:textId="77777777" w:rsidR="009D053C" w:rsidRDefault="008F6F83">
      <w:pPr>
        <w:spacing w:after="160"/>
      </w:pPr>
      <w:r>
        <w:rPr>
          <w:sz w:val="24"/>
          <w:szCs w:val="24"/>
        </w:rPr>
        <w:t>Compare this to lobbying after a bill is introduced. At that stage, a politician who is uncertain can delay, hedge, or let the bill die in committee without a public reversal. The pre-election commitment forces a stance before industry opposition is organized.</w:t>
      </w:r>
    </w:p>
    <w:p w14:paraId="745BC87D" w14:textId="77777777" w:rsidR="009D053C" w:rsidRDefault="008F6F83">
      <w:pPr>
        <w:spacing w:after="160"/>
      </w:pPr>
      <w:r>
        <w:rPr>
          <w:sz w:val="24"/>
          <w:szCs w:val="24"/>
        </w:rPr>
        <w:t>Ask students: Where else could this timing strategy apply? What are its limits? (It requires an approaching election, issue salience, and someone willing to do the organizing work before any bill exists.)</w:t>
      </w:r>
    </w:p>
    <w:p w14:paraId="00274EB6" w14:textId="77777777" w:rsidR="009D053C" w:rsidRDefault="008F6F83">
      <w:pPr>
        <w:spacing w:before="280" w:after="100"/>
      </w:pPr>
      <w:r>
        <w:rPr>
          <w:b/>
          <w:bCs/>
          <w:caps/>
          <w:color w:val="222222"/>
          <w:sz w:val="22"/>
          <w:szCs w:val="22"/>
        </w:rPr>
        <w:t>Small-Group Discussion Guidance</w:t>
      </w:r>
    </w:p>
    <w:p w14:paraId="7F0353C9" w14:textId="77777777" w:rsidR="009D053C" w:rsidRDefault="008F6F83">
      <w:pPr>
        <w:spacing w:before="200" w:after="80"/>
      </w:pPr>
      <w:r>
        <w:rPr>
          <w:b/>
          <w:bCs/>
          <w:sz w:val="24"/>
          <w:szCs w:val="24"/>
        </w:rPr>
        <w:t>Applying the Four-Part Framework</w:t>
      </w:r>
    </w:p>
    <w:p w14:paraId="3DB244A6" w14:textId="77777777" w:rsidR="009D053C" w:rsidRDefault="008F6F83">
      <w:pPr>
        <w:spacing w:after="200"/>
      </w:pPr>
      <w:r>
        <w:rPr>
          <w:i/>
          <w:iCs/>
          <w:sz w:val="24"/>
          <w:szCs w:val="24"/>
        </w:rPr>
        <w:t>Discussion scenario: Apply the four-part political framework—winners/losers, deciders/influencers, advocates/partnerships, timing/pragmatism—to a current public health challenge of your choice. Who are the winners? Who are the losers? Who are the deciders and who influences them? What advocacy coalition would be needed? What timing considerations apply?</w:t>
      </w:r>
    </w:p>
    <w:p w14:paraId="7B007B7A" w14:textId="77777777" w:rsidR="009D053C" w:rsidRDefault="008F6F83">
      <w:pPr>
        <w:spacing w:after="160"/>
      </w:pPr>
      <w:r>
        <w:rPr>
          <w:sz w:val="24"/>
          <w:szCs w:val="24"/>
        </w:rPr>
        <w:t xml:space="preserve">Push past general identification toward specific mechanism: not just ‘who are the winners’ but ‘why are they not organized, what would it take to organize them, and who could speak for them the way </w:t>
      </w:r>
      <w:proofErr w:type="spellStart"/>
      <w:r>
        <w:rPr>
          <w:sz w:val="24"/>
          <w:szCs w:val="24"/>
        </w:rPr>
        <w:t>Martinah</w:t>
      </w:r>
      <w:proofErr w:type="spellEnd"/>
      <w:r>
        <w:rPr>
          <w:sz w:val="24"/>
          <w:szCs w:val="24"/>
        </w:rPr>
        <w:t xml:space="preserve"> Payne-Yehuda spoke for bar workers?’</w:t>
      </w:r>
    </w:p>
    <w:p w14:paraId="5C8DFC18" w14:textId="77777777" w:rsidR="009D053C" w:rsidRDefault="008F6F83">
      <w:pPr>
        <w:spacing w:after="160"/>
      </w:pPr>
      <w:r>
        <w:rPr>
          <w:sz w:val="24"/>
          <w:szCs w:val="24"/>
        </w:rPr>
        <w:t>For each intervention: ask students to identify the most powerful loser and the mechanism by which that loser will fight. Ask them to identify the most persuasive affected winner—not the most prominent advocacy organization but the person whose testimony would be hardest to dismiss. Ask them to name the specific decider who must say yes and what that decider cares about that health evidence alone does not address.</w:t>
      </w:r>
    </w:p>
    <w:p w14:paraId="4E0CF976" w14:textId="77777777" w:rsidR="009D053C" w:rsidRDefault="008F6F83">
      <w:pPr>
        <w:spacing w:before="200" w:after="80"/>
      </w:pPr>
      <w:r>
        <w:rPr>
          <w:b/>
          <w:bCs/>
          <w:sz w:val="24"/>
          <w:szCs w:val="24"/>
        </w:rPr>
        <w:t>Do the Hard Things First</w:t>
      </w:r>
    </w:p>
    <w:p w14:paraId="62CB0E6A" w14:textId="77777777" w:rsidR="009D053C" w:rsidRDefault="008F6F83">
      <w:pPr>
        <w:spacing w:after="200"/>
      </w:pPr>
      <w:r>
        <w:rPr>
          <w:i/>
          <w:iCs/>
          <w:sz w:val="24"/>
          <w:szCs w:val="24"/>
        </w:rPr>
        <w:lastRenderedPageBreak/>
        <w:t>Discussion scenario: You are advising the incoming health commissioner of a major city. She asks which public health intervention to prioritize in her first 90 days. You know that the most effective interventions are also the most politically controversial. Drawing on the principle ‘do the hard things first,’ what would you recommend—and why does timing matter so much?</w:t>
      </w:r>
    </w:p>
    <w:p w14:paraId="22F4DD97" w14:textId="77777777" w:rsidR="009D053C" w:rsidRDefault="008F6F83">
      <w:pPr>
        <w:spacing w:after="160"/>
      </w:pPr>
      <w:r>
        <w:rPr>
          <w:sz w:val="24"/>
          <w:szCs w:val="24"/>
        </w:rPr>
        <w:t>The question is not ‘what is most important’ but ‘what is most politically executable in the first 90 days.’ Political capital is highest at the beginning of an administration. An intervention in year one has three years to demonstrate effects and develop a constituency before the next election. The same intervention in year three has one year.</w:t>
      </w:r>
    </w:p>
    <w:p w14:paraId="26E59E9B" w14:textId="77777777" w:rsidR="009D053C" w:rsidRDefault="008F6F83">
      <w:pPr>
        <w:spacing w:after="160"/>
      </w:pPr>
      <w:r>
        <w:rPr>
          <w:sz w:val="24"/>
          <w:szCs w:val="24"/>
        </w:rPr>
        <w:t>Ask students: What is the political half-life of a new administration’s mandate? What determines when an intervention crosses from ‘politically difficult but possible’ to ‘impossible until the next election’? What signals should a commissioner watch for?</w:t>
      </w:r>
    </w:p>
    <w:p w14:paraId="5202755A" w14:textId="77777777" w:rsidR="009D053C" w:rsidRDefault="008F6F83">
      <w:pPr>
        <w:spacing w:before="240"/>
      </w:pPr>
      <w:r>
        <w:br w:type="page"/>
      </w:r>
    </w:p>
    <w:p w14:paraId="435CDDC1" w14:textId="77777777" w:rsidR="009D053C" w:rsidRDefault="008F6F83">
      <w:pPr>
        <w:spacing w:before="280" w:after="100"/>
      </w:pPr>
      <w:r>
        <w:rPr>
          <w:b/>
          <w:bCs/>
          <w:caps/>
          <w:color w:val="222222"/>
          <w:sz w:val="22"/>
          <w:szCs w:val="22"/>
        </w:rPr>
        <w:lastRenderedPageBreak/>
        <w:t>Post-Class Synthesis</w:t>
      </w:r>
    </w:p>
    <w:p w14:paraId="5CB409B5" w14:textId="7B67EB69" w:rsidR="009D053C" w:rsidRDefault="008F6F83">
      <w:pPr>
        <w:spacing w:after="200"/>
      </w:pPr>
      <w:r>
        <w:rPr>
          <w:i/>
          <w:iCs/>
          <w:sz w:val="24"/>
          <w:szCs w:val="24"/>
        </w:rPr>
        <w:t>Distribute to students after the session.</w:t>
      </w:r>
    </w:p>
    <w:p w14:paraId="2BED670B" w14:textId="00754440" w:rsidR="00F80A40" w:rsidRDefault="00F80A40">
      <w:pPr>
        <w:rPr>
          <w:b/>
          <w:bCs/>
          <w:sz w:val="28"/>
          <w:szCs w:val="28"/>
        </w:rPr>
      </w:pPr>
    </w:p>
    <w:p w14:paraId="04947D8C" w14:textId="77777777" w:rsidR="00985A6A" w:rsidRDefault="00985A6A">
      <w:pPr>
        <w:rPr>
          <w:b/>
          <w:bCs/>
          <w:sz w:val="28"/>
          <w:szCs w:val="28"/>
        </w:rPr>
      </w:pPr>
      <w:r>
        <w:rPr>
          <w:b/>
          <w:bCs/>
          <w:sz w:val="28"/>
          <w:szCs w:val="28"/>
        </w:rPr>
        <w:br w:type="page"/>
      </w:r>
    </w:p>
    <w:p w14:paraId="01E5415F" w14:textId="2B7A0EBF" w:rsidR="009D053C" w:rsidRDefault="008F6F83">
      <w:pPr>
        <w:spacing w:before="100" w:after="100"/>
      </w:pPr>
      <w:r>
        <w:rPr>
          <w:b/>
          <w:bCs/>
          <w:sz w:val="28"/>
          <w:szCs w:val="28"/>
        </w:rPr>
        <w:lastRenderedPageBreak/>
        <w:t>Lessons from the New York City Smoke-Free Air Act</w:t>
      </w:r>
    </w:p>
    <w:p w14:paraId="53097A1B" w14:textId="77777777" w:rsidR="009D053C" w:rsidRDefault="009D053C">
      <w:pPr>
        <w:pBdr>
          <w:bottom w:val="single" w:sz="4" w:space="0" w:color="008B8B"/>
        </w:pBdr>
      </w:pPr>
    </w:p>
    <w:p w14:paraId="2D9E382D" w14:textId="77777777" w:rsidR="009D053C" w:rsidRDefault="009D053C">
      <w:pPr>
        <w:spacing w:before="160"/>
      </w:pPr>
    </w:p>
    <w:p w14:paraId="29DDE313" w14:textId="78B4070F" w:rsidR="009D053C" w:rsidRDefault="008F6F83">
      <w:pPr>
        <w:spacing w:before="80" w:after="80"/>
        <w:ind w:left="360" w:hanging="360"/>
      </w:pPr>
      <w:r>
        <w:rPr>
          <w:sz w:val="24"/>
          <w:szCs w:val="24"/>
        </w:rPr>
        <w:t>• </w:t>
      </w:r>
      <w:r>
        <w:rPr>
          <w:b/>
          <w:bCs/>
          <w:sz w:val="24"/>
          <w:szCs w:val="24"/>
        </w:rPr>
        <w:t>Political will</w:t>
      </w:r>
      <w:r w:rsidR="00F80A40">
        <w:rPr>
          <w:b/>
          <w:bCs/>
          <w:sz w:val="24"/>
          <w:szCs w:val="24"/>
        </w:rPr>
        <w:t xml:space="preserve"> is a simplistic and misleading construct – political competence is the goal</w:t>
      </w:r>
      <w:r>
        <w:rPr>
          <w:b/>
          <w:bCs/>
          <w:sz w:val="24"/>
          <w:szCs w:val="24"/>
        </w:rPr>
        <w:t>.</w:t>
      </w:r>
      <w:r>
        <w:rPr>
          <w:sz w:val="24"/>
          <w:szCs w:val="24"/>
        </w:rPr>
        <w:t xml:space="preserve"> Will is an explanation that names a variable without describing a mechanism. Political competence means identifying winners and losers, organizing the winners, reaching deciders before they are locked in, building coalitions that make diffuse benefits visible, and finding solutions that meet political constraints without sacrificing health outcomes. Each of these is teachable and learnable.</w:t>
      </w:r>
    </w:p>
    <w:p w14:paraId="405D29BE" w14:textId="77777777" w:rsidR="009D053C" w:rsidRDefault="008F6F83">
      <w:pPr>
        <w:spacing w:before="80" w:after="80"/>
        <w:ind w:left="360" w:hanging="360"/>
      </w:pPr>
      <w:r>
        <w:rPr>
          <w:sz w:val="24"/>
          <w:szCs w:val="24"/>
        </w:rPr>
        <w:t>• </w:t>
      </w:r>
      <w:r>
        <w:rPr>
          <w:b/>
          <w:bCs/>
          <w:sz w:val="24"/>
          <w:szCs w:val="24"/>
        </w:rPr>
        <w:t>Concentrated losses defeat diffuse benefits unless someone organizes the winners.</w:t>
      </w:r>
      <w:r>
        <w:rPr>
          <w:sz w:val="24"/>
          <w:szCs w:val="24"/>
        </w:rPr>
        <w:t xml:space="preserve"> The soda tax failed not because the evidence was weak but because the industry organized its losers into a visible, funded, vocal coalition while the winners—families, children, health systems—remained diffuse and unrepresented. The smoke-free law succeeded in part because bar workers were organized through BREATHE and made visible through testimony. The asymmetry is structural; overcoming it requires deliberate organizational work.</w:t>
      </w:r>
    </w:p>
    <w:p w14:paraId="51172FB2" w14:textId="77777777" w:rsidR="009D053C" w:rsidRDefault="008F6F83">
      <w:pPr>
        <w:spacing w:before="80" w:after="80"/>
        <w:ind w:left="360" w:hanging="360"/>
      </w:pPr>
      <w:r>
        <w:rPr>
          <w:sz w:val="24"/>
          <w:szCs w:val="24"/>
        </w:rPr>
        <w:t>• </w:t>
      </w:r>
      <w:r>
        <w:rPr>
          <w:b/>
          <w:bCs/>
          <w:sz w:val="24"/>
          <w:szCs w:val="24"/>
        </w:rPr>
        <w:t>Deciders can sometimes be reached before they hold office.</w:t>
      </w:r>
      <w:r>
        <w:rPr>
          <w:sz w:val="24"/>
          <w:szCs w:val="24"/>
        </w:rPr>
        <w:t xml:space="preserve"> Cherner’s pre-election questionnaire strategy locked Bloomberg and most City Council members into written public commitments before any industry opposition was organized. The written record was structural leverage, not rhetorical. This approach is replicable—but requires someone willing to do the organizing work before any bill exists.</w:t>
      </w:r>
    </w:p>
    <w:p w14:paraId="018D990F" w14:textId="77777777" w:rsidR="009D053C" w:rsidRDefault="008F6F83">
      <w:pPr>
        <w:spacing w:before="80" w:after="80"/>
        <w:ind w:left="360" w:hanging="360"/>
      </w:pPr>
      <w:r>
        <w:rPr>
          <w:sz w:val="24"/>
          <w:szCs w:val="24"/>
        </w:rPr>
        <w:t>• </w:t>
      </w:r>
      <w:r>
        <w:rPr>
          <w:b/>
          <w:bCs/>
          <w:sz w:val="24"/>
          <w:szCs w:val="24"/>
        </w:rPr>
        <w:t>Affected individuals are the most persuasive advocates.</w:t>
      </w:r>
      <w:r>
        <w:rPr>
          <w:sz w:val="24"/>
          <w:szCs w:val="24"/>
        </w:rPr>
        <w:t xml:space="preserve"> </w:t>
      </w:r>
      <w:proofErr w:type="spellStart"/>
      <w:r>
        <w:rPr>
          <w:sz w:val="24"/>
          <w:szCs w:val="24"/>
        </w:rPr>
        <w:t>Martinah</w:t>
      </w:r>
      <w:proofErr w:type="spellEnd"/>
      <w:r>
        <w:rPr>
          <w:sz w:val="24"/>
          <w:szCs w:val="24"/>
        </w:rPr>
        <w:t xml:space="preserve"> Payne-Yehuda’s testimony outperformed the combined advocacy of the health commissioner, a Nobel laureate, and the mayor. There is no technical rebuttal to a pregnant waitress explaining why she has to keep being exposed so people can smoke in her workplace. Public health campaigns that rely entirely on institutional spokespeople forfeit their most powerful asset.</w:t>
      </w:r>
    </w:p>
    <w:p w14:paraId="30357C50" w14:textId="23438304" w:rsidR="009D053C" w:rsidRDefault="008F6F83">
      <w:pPr>
        <w:spacing w:before="80" w:after="80"/>
        <w:ind w:left="360" w:hanging="360"/>
      </w:pPr>
      <w:r>
        <w:rPr>
          <w:sz w:val="24"/>
          <w:szCs w:val="24"/>
        </w:rPr>
        <w:t>• </w:t>
      </w:r>
      <w:r w:rsidR="00F80A40">
        <w:rPr>
          <w:b/>
          <w:bCs/>
          <w:sz w:val="24"/>
          <w:szCs w:val="24"/>
        </w:rPr>
        <w:t>Compromise is an art – but with red lines</w:t>
      </w:r>
      <w:r>
        <w:rPr>
          <w:b/>
          <w:bCs/>
          <w:sz w:val="24"/>
          <w:szCs w:val="24"/>
        </w:rPr>
        <w:t>.</w:t>
      </w:r>
      <w:r>
        <w:rPr>
          <w:sz w:val="24"/>
          <w:szCs w:val="24"/>
        </w:rPr>
        <w:t xml:space="preserve"> The engineering specifications for smoking rooms were a creative solution, not a compromise. Compromising on form means meeting a political constraint without sacrificing the health outcome. Compromising on substance means weakening the standard or allowing the harm. The distinction is not always obvious in advance—but it is always consequential. Advocates must be able to articulate it precisely before entering negotiations.</w:t>
      </w:r>
    </w:p>
    <w:p w14:paraId="0EEED4D2" w14:textId="77777777" w:rsidR="009D053C" w:rsidRDefault="008F6F83">
      <w:pPr>
        <w:spacing w:before="80" w:after="80"/>
        <w:ind w:left="360" w:hanging="360"/>
      </w:pPr>
      <w:r>
        <w:rPr>
          <w:sz w:val="24"/>
          <w:szCs w:val="24"/>
        </w:rPr>
        <w:t>• </w:t>
      </w:r>
      <w:r>
        <w:rPr>
          <w:b/>
          <w:bCs/>
          <w:sz w:val="24"/>
          <w:szCs w:val="24"/>
        </w:rPr>
        <w:t>Do the hard things first.</w:t>
      </w:r>
      <w:r>
        <w:rPr>
          <w:sz w:val="24"/>
          <w:szCs w:val="24"/>
        </w:rPr>
        <w:t xml:space="preserve"> Political capital depreciates from the moment an administration is sworn in. The interventions with the longest opposition timelines and the slowest-developing benefits—the ones most in need of time before the next election—should be implemented earliest. This is not just tactical wisdom; it is a theory of how health improvements survive political turnover.</w:t>
      </w:r>
    </w:p>
    <w:sectPr w:rsidR="009D053C">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5433" w14:textId="77777777" w:rsidR="00BC2372" w:rsidRDefault="00BC2372">
      <w:r>
        <w:separator/>
      </w:r>
    </w:p>
  </w:endnote>
  <w:endnote w:type="continuationSeparator" w:id="0">
    <w:p w14:paraId="6F3FFD00" w14:textId="77777777" w:rsidR="00BC2372" w:rsidRDefault="00BC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9651" w14:textId="4BC678CF" w:rsidR="009D053C" w:rsidRDefault="008F6F83">
    <w:pPr>
      <w:jc w:val="center"/>
    </w:pPr>
    <w:r>
      <w:rPr>
        <w:color w:val="888888"/>
        <w:sz w:val="18"/>
        <w:szCs w:val="18"/>
      </w:rPr>
      <w:t xml:space="preserve">The Formula for Better Health  ·  MIT Press, 2025  ·  </w:t>
    </w:r>
    <w:r w:rsidR="00846972" w:rsidRPr="00846972">
      <w:rPr>
        <w:color w:val="888888"/>
        <w:sz w:val="18"/>
        <w:szCs w:val="18"/>
      </w:rPr>
      <w:t>theformulaforbetterhealth.org/formulateaching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D32A" w14:textId="77777777" w:rsidR="00BC2372" w:rsidRDefault="00BC2372">
      <w:r>
        <w:separator/>
      </w:r>
    </w:p>
  </w:footnote>
  <w:footnote w:type="continuationSeparator" w:id="0">
    <w:p w14:paraId="00275BC7" w14:textId="77777777" w:rsidR="00BC2372" w:rsidRDefault="00BC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31A72"/>
    <w:multiLevelType w:val="hybridMultilevel"/>
    <w:tmpl w:val="93524100"/>
    <w:lvl w:ilvl="0" w:tplc="08B66FDE">
      <w:start w:val="1"/>
      <w:numFmt w:val="bullet"/>
      <w:lvlText w:val="●"/>
      <w:lvlJc w:val="left"/>
      <w:pPr>
        <w:ind w:left="720" w:hanging="360"/>
      </w:pPr>
    </w:lvl>
    <w:lvl w:ilvl="1" w:tplc="1FE85E6C">
      <w:start w:val="1"/>
      <w:numFmt w:val="bullet"/>
      <w:lvlText w:val="○"/>
      <w:lvlJc w:val="left"/>
      <w:pPr>
        <w:ind w:left="1440" w:hanging="360"/>
      </w:pPr>
    </w:lvl>
    <w:lvl w:ilvl="2" w:tplc="B5BED3D2">
      <w:start w:val="1"/>
      <w:numFmt w:val="bullet"/>
      <w:lvlText w:val="■"/>
      <w:lvlJc w:val="left"/>
      <w:pPr>
        <w:ind w:left="2160" w:hanging="360"/>
      </w:pPr>
    </w:lvl>
    <w:lvl w:ilvl="3" w:tplc="D550DBCE">
      <w:start w:val="1"/>
      <w:numFmt w:val="bullet"/>
      <w:lvlText w:val="●"/>
      <w:lvlJc w:val="left"/>
      <w:pPr>
        <w:ind w:left="2880" w:hanging="360"/>
      </w:pPr>
    </w:lvl>
    <w:lvl w:ilvl="4" w:tplc="07F806DA">
      <w:start w:val="1"/>
      <w:numFmt w:val="bullet"/>
      <w:lvlText w:val="○"/>
      <w:lvlJc w:val="left"/>
      <w:pPr>
        <w:ind w:left="3600" w:hanging="360"/>
      </w:pPr>
    </w:lvl>
    <w:lvl w:ilvl="5" w:tplc="5044CD54">
      <w:start w:val="1"/>
      <w:numFmt w:val="bullet"/>
      <w:lvlText w:val="■"/>
      <w:lvlJc w:val="left"/>
      <w:pPr>
        <w:ind w:left="4320" w:hanging="360"/>
      </w:pPr>
    </w:lvl>
    <w:lvl w:ilvl="6" w:tplc="8BC231F8">
      <w:start w:val="1"/>
      <w:numFmt w:val="bullet"/>
      <w:lvlText w:val="●"/>
      <w:lvlJc w:val="left"/>
      <w:pPr>
        <w:ind w:left="5040" w:hanging="360"/>
      </w:pPr>
    </w:lvl>
    <w:lvl w:ilvl="7" w:tplc="5BE2465E">
      <w:start w:val="1"/>
      <w:numFmt w:val="bullet"/>
      <w:lvlText w:val="●"/>
      <w:lvlJc w:val="left"/>
      <w:pPr>
        <w:ind w:left="5760" w:hanging="360"/>
      </w:pPr>
    </w:lvl>
    <w:lvl w:ilvl="8" w:tplc="D8D6309A">
      <w:start w:val="1"/>
      <w:numFmt w:val="bullet"/>
      <w:lvlText w:val="●"/>
      <w:lvlJc w:val="left"/>
      <w:pPr>
        <w:ind w:left="6480" w:hanging="360"/>
      </w:pPr>
    </w:lvl>
  </w:abstractNum>
  <w:num w:numId="1" w16cid:durableId="4788867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3C"/>
    <w:rsid w:val="00101E9F"/>
    <w:rsid w:val="00286067"/>
    <w:rsid w:val="00584A89"/>
    <w:rsid w:val="00770E46"/>
    <w:rsid w:val="00846972"/>
    <w:rsid w:val="008F6F83"/>
    <w:rsid w:val="00957C8C"/>
    <w:rsid w:val="00985A6A"/>
    <w:rsid w:val="009D053C"/>
    <w:rsid w:val="009F2203"/>
    <w:rsid w:val="00A74336"/>
    <w:rsid w:val="00B466FB"/>
    <w:rsid w:val="00BC2372"/>
    <w:rsid w:val="00C30566"/>
    <w:rsid w:val="00F8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3CCD6"/>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46972"/>
    <w:pPr>
      <w:tabs>
        <w:tab w:val="center" w:pos="4680"/>
        <w:tab w:val="right" w:pos="9360"/>
      </w:tabs>
    </w:pPr>
  </w:style>
  <w:style w:type="character" w:customStyle="1" w:styleId="HeaderChar">
    <w:name w:val="Header Char"/>
    <w:basedOn w:val="DefaultParagraphFont"/>
    <w:link w:val="Header"/>
    <w:uiPriority w:val="99"/>
    <w:rsid w:val="00846972"/>
  </w:style>
  <w:style w:type="paragraph" w:styleId="Footer">
    <w:name w:val="footer"/>
    <w:basedOn w:val="Normal"/>
    <w:link w:val="FooterChar"/>
    <w:uiPriority w:val="99"/>
    <w:unhideWhenUsed/>
    <w:rsid w:val="00846972"/>
    <w:pPr>
      <w:tabs>
        <w:tab w:val="center" w:pos="4680"/>
        <w:tab w:val="right" w:pos="9360"/>
      </w:tabs>
    </w:pPr>
  </w:style>
  <w:style w:type="character" w:customStyle="1" w:styleId="FooterChar">
    <w:name w:val="Footer Char"/>
    <w:basedOn w:val="DefaultParagraphFont"/>
    <w:link w:val="Footer"/>
    <w:uiPriority w:val="99"/>
    <w:rsid w:val="0084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E56367-8A99-4F71-9865-159D72FF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6AC98-647F-4FA9-9FF2-DDBC3CD03EAF}">
  <ds:schemaRefs>
    <ds:schemaRef ds:uri="http://schemas.microsoft.com/sharepoint/v3/contenttype/forms"/>
  </ds:schemaRefs>
</ds:datastoreItem>
</file>

<file path=customXml/itemProps3.xml><?xml version="1.0" encoding="utf-8"?>
<ds:datastoreItem xmlns:ds="http://schemas.openxmlformats.org/officeDocument/2006/customXml" ds:itemID="{2AEEE9EF-51A5-49AD-B777-7EE0C9EBD966}">
  <ds:schemaRefs>
    <ds:schemaRef ds:uri="http://schemas.microsoft.com/office/2006/metadata/properties"/>
    <ds:schemaRef ds:uri="http://schemas.microsoft.com/office/infopath/2007/PartnerControls"/>
    <ds:schemaRef ds:uri="89c6c834-5500-4d34-8d4a-2e90563177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11489</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4</cp:revision>
  <dcterms:created xsi:type="dcterms:W3CDTF">2026-03-16T20:53:00Z</dcterms:created>
  <dcterms:modified xsi:type="dcterms:W3CDTF">2026-03-16T21:08:00Z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2026-03-08T13:36:25Z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c275c844-1979-45ac-8a99-1c70ede0b199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