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601717" w14:paraId="6B44DE96"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78E487FE" w14:textId="77777777" w:rsidR="00601717" w:rsidRDefault="00D17A34">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72420EF6" w14:textId="77777777" w:rsidR="00601717" w:rsidRDefault="00D17A34">
            <w:pPr>
              <w:jc w:val="center"/>
            </w:pPr>
            <w:r>
              <w:rPr>
                <w:rFonts w:ascii="Arial" w:eastAsia="Arial" w:hAnsi="Arial" w:cs="Arial"/>
                <w:b/>
                <w:bCs/>
                <w:color w:val="444444"/>
                <w:sz w:val="16"/>
                <w:szCs w:val="16"/>
              </w:rPr>
              <w:t>STUDENT HANDOUT</w:t>
            </w:r>
          </w:p>
        </w:tc>
      </w:tr>
    </w:tbl>
    <w:p w14:paraId="4C1C1DFF" w14:textId="77777777" w:rsidR="00601717" w:rsidRDefault="00D17A34">
      <w:pPr>
        <w:spacing w:before="200" w:after="60"/>
      </w:pPr>
      <w:r>
        <w:rPr>
          <w:b/>
          <w:bCs/>
          <w:sz w:val="36"/>
          <w:szCs w:val="36"/>
        </w:rPr>
        <w:t>Alice Hamilton and the Cassandra Curse: Evidence, Interests, and Invisible Harm—Student Case Handout</w:t>
      </w:r>
    </w:p>
    <w:p w14:paraId="6DB7A310" w14:textId="77777777" w:rsidR="00601717" w:rsidRDefault="00601717">
      <w:pPr>
        <w:pBdr>
          <w:bottom w:val="single" w:sz="4" w:space="0" w:color="008B8B"/>
        </w:pBdr>
      </w:pPr>
    </w:p>
    <w:p w14:paraId="38F79E70" w14:textId="77777777" w:rsidR="00601717" w:rsidRDefault="00D17A34">
      <w:pPr>
        <w:spacing w:before="280" w:after="100"/>
      </w:pPr>
      <w:r>
        <w:rPr>
          <w:b/>
          <w:bCs/>
          <w:caps/>
          <w:color w:val="222222"/>
          <w:sz w:val="22"/>
          <w:szCs w:val="22"/>
        </w:rPr>
        <w:t>Required Reading</w:t>
      </w:r>
    </w:p>
    <w:p w14:paraId="0E8611AC" w14:textId="77777777" w:rsidR="00601717" w:rsidRDefault="00D17A34">
      <w:pPr>
        <w:spacing w:before="40" w:after="80"/>
        <w:ind w:left="360" w:hanging="280"/>
      </w:pPr>
      <w:r>
        <w:rPr>
          <w:sz w:val="24"/>
          <w:szCs w:val="24"/>
        </w:rPr>
        <w:t>• Frieden, Thomas R. The Formula for Better Health: How to Save Millions of Lives – Including Your Own. MIT Press, 2025. Chapter 2: Why We Ignore Warnings</w:t>
      </w:r>
    </w:p>
    <w:p w14:paraId="4860A4F0" w14:textId="77777777" w:rsidR="00601717" w:rsidRDefault="00D17A34">
      <w:pPr>
        <w:spacing w:before="280" w:after="100"/>
      </w:pPr>
      <w:r>
        <w:rPr>
          <w:b/>
          <w:bCs/>
          <w:caps/>
          <w:color w:val="222222"/>
          <w:sz w:val="22"/>
          <w:szCs w:val="22"/>
        </w:rPr>
        <w:t>Preparation Question</w:t>
      </w:r>
    </w:p>
    <w:p w14:paraId="3EA46088" w14:textId="77777777" w:rsidR="00601717" w:rsidRDefault="00D17A34">
      <w:pPr>
        <w:spacing w:after="160"/>
      </w:pPr>
      <w:r>
        <w:rPr>
          <w:sz w:val="24"/>
          <w:szCs w:val="24"/>
        </w:rPr>
        <w:t>Before class, write two to three sentences in response to: Alice Hamilton spent decades documenting occupational diseases and built an ironclad scientific record showing that lead poisoning was killing and disabling American workers. Despite that evidence, it took more than fifty years after her warnings for the United States to remove lead from gasoline. Using Chapter 2’s framework, what prevented her evidence from producing policy change?</w:t>
      </w:r>
    </w:p>
    <w:p w14:paraId="431816F9" w14:textId="77777777" w:rsidR="00601717" w:rsidRDefault="00D17A34">
      <w:pPr>
        <w:spacing w:before="280" w:after="100"/>
      </w:pPr>
      <w:r>
        <w:rPr>
          <w:b/>
          <w:bCs/>
          <w:caps/>
          <w:color w:val="222222"/>
          <w:sz w:val="22"/>
          <w:szCs w:val="22"/>
        </w:rPr>
        <w:t>The Case</w:t>
      </w:r>
    </w:p>
    <w:p w14:paraId="0E3638EF" w14:textId="77777777" w:rsidR="00601717" w:rsidRDefault="00D17A34">
      <w:pPr>
        <w:spacing w:after="160"/>
      </w:pPr>
      <w:r>
        <w:rPr>
          <w:sz w:val="24"/>
          <w:szCs w:val="24"/>
        </w:rPr>
        <w:t>Alice Hamilton is the founder of American occupational medicine and was the first woman on the faculty of Harvard University. She walked into factories, munitions plants, and mines—sometimes without permission—and traced patterns of illness and death to specific industrial exposures: lead, benzene, carbon monoxide, mercury, radium. She documented what she found. She published it. She testified about it.</w:t>
      </w:r>
    </w:p>
    <w:p w14:paraId="5132E092" w14:textId="77777777" w:rsidR="00601717" w:rsidRDefault="00D17A34">
      <w:pPr>
        <w:spacing w:after="160"/>
      </w:pPr>
      <w:r>
        <w:rPr>
          <w:sz w:val="24"/>
          <w:szCs w:val="24"/>
        </w:rPr>
        <w:t>Hamilton’s most consequential and ultimately unsuccessful battle was over tetraethyl lead. In 1923, the Standard Oil Company of New Jersey, General Motors, and DuPont introduced leaded gasoline. The product boosted engine performance. It also released lead into the air everywhere cars were driven.</w:t>
      </w:r>
    </w:p>
    <w:p w14:paraId="27DE2046" w14:textId="77777777" w:rsidR="00601717" w:rsidRDefault="00D17A34">
      <w:pPr>
        <w:spacing w:after="160"/>
      </w:pPr>
      <w:r>
        <w:rPr>
          <w:sz w:val="24"/>
          <w:szCs w:val="24"/>
        </w:rPr>
        <w:t>Hamilton and her colleagues at Harvard published evidence of the danger. Workers at the tetraethyl lead production plant in Deepwater, New Jersey, suffered psychosis, seizures, and death—the workers called the plant “the house of butterflies” because so many experienced lead-induced hallucinations before they died. Hamilton wrote to the Surgeon General, testified at a congressional conference, and argued that safer anti-knock alternatives existed.</w:t>
      </w:r>
    </w:p>
    <w:p w14:paraId="0F88F21A" w14:textId="77777777" w:rsidR="00601717" w:rsidRDefault="00D17A34">
      <w:pPr>
        <w:spacing w:after="160"/>
      </w:pPr>
      <w:r>
        <w:rPr>
          <w:sz w:val="24"/>
          <w:szCs w:val="24"/>
        </w:rPr>
        <w:t>The 1925 Surgeon General’s conference on leaded gasoline was convened to adjudicate the scientific question. It produced a panel dominated by industry-affiliated scientists and a conclusion that cleared leaded gasoline for continued use. What Hamilton did not know at the time—and what was documented decades later—was that the gasoline industry had provided financial support to public health institutions and officials who would be central to that decision. The economic interests were invisible; the scientific conclusions they shaped were presented as objective.</w:t>
      </w:r>
    </w:p>
    <w:p w14:paraId="13BC8CAA" w14:textId="77777777" w:rsidR="00601717" w:rsidRDefault="00D17A34">
      <w:pPr>
        <w:spacing w:after="160"/>
      </w:pPr>
      <w:r>
        <w:rPr>
          <w:sz w:val="24"/>
          <w:szCs w:val="24"/>
        </w:rPr>
        <w:t>Lead remained in American gasoline until 1996. By then, the Centers for Disease Control estimated that the average American child had ten times the blood lead level of a child born after lead was removed from gasoline. The harms Hamilton documented in the 1920s continued for seven decades because economic interests, operating invisibly, defeated evidence that was never in serious scientific dispute.</w:t>
      </w:r>
    </w:p>
    <w:p w14:paraId="436D1898" w14:textId="77777777" w:rsidR="00601717" w:rsidRDefault="00D17A34">
      <w:pPr>
        <w:spacing w:before="280" w:after="100"/>
      </w:pPr>
      <w:r>
        <w:rPr>
          <w:b/>
          <w:bCs/>
          <w:caps/>
          <w:color w:val="222222"/>
          <w:sz w:val="22"/>
          <w:szCs w:val="22"/>
        </w:rPr>
        <w:t>The Cassandra Curse</w:t>
      </w:r>
    </w:p>
    <w:p w14:paraId="4B5559F5" w14:textId="77777777" w:rsidR="00601717" w:rsidRDefault="00D17A34">
      <w:pPr>
        <w:spacing w:after="160"/>
      </w:pPr>
      <w:r>
        <w:rPr>
          <w:sz w:val="24"/>
          <w:szCs w:val="24"/>
        </w:rPr>
        <w:t xml:space="preserve">In Greek mythology, Cassandra was a priestess who could see the future but was cursed: no one believed her warnings, and the disasters she predicted were never prevented. Public health faces a similar curse. Evidence of preventable harm accumulates. Warnings are issued. And again and again, </w:t>
      </w:r>
      <w:r>
        <w:rPr>
          <w:sz w:val="24"/>
          <w:szCs w:val="24"/>
        </w:rPr>
        <w:lastRenderedPageBreak/>
        <w:t>societies fail to act—until the harm is already done. Chapter 2 identifies the forces that produce this pattern.</w:t>
      </w:r>
    </w:p>
    <w:p w14:paraId="2468E492" w14:textId="77777777" w:rsidR="00601717" w:rsidRDefault="00D17A34">
      <w:pPr>
        <w:spacing w:after="160"/>
      </w:pPr>
      <w:r>
        <w:rPr>
          <w:sz w:val="24"/>
          <w:szCs w:val="24"/>
        </w:rPr>
        <w:t>Six drivers cause societies to ignore real, documented threats. Not all six operated in Hamilton’s case. The drivers most relevant to what happened to her evidence are:</w:t>
      </w:r>
    </w:p>
    <w:p w14:paraId="67158356" w14:textId="77777777" w:rsidR="00601717" w:rsidRDefault="00D17A34">
      <w:pPr>
        <w:spacing w:after="160"/>
      </w:pPr>
      <w:r>
        <w:rPr>
          <w:b/>
          <w:bCs/>
          <w:sz w:val="24"/>
          <w:szCs w:val="24"/>
        </w:rPr>
        <w:t>Economic interests.</w:t>
      </w:r>
      <w:r>
        <w:rPr>
          <w:sz w:val="24"/>
          <w:szCs w:val="24"/>
        </w:rPr>
        <w:t xml:space="preserve"> The most direct force blocking Hamilton was money. Tetraethyl lead generated enormous profits for Standard Oil, GM, and DuPont. Those companies had the resources to fund friendly research, cultivate relationships with regulators, and shape the institutional environment in which Hamilton’s evidence would be evaluated. The economic interests were not declared—they were invisible.</w:t>
      </w:r>
    </w:p>
    <w:p w14:paraId="3F5C7354" w14:textId="77777777" w:rsidR="00601717" w:rsidRDefault="00D17A34">
      <w:pPr>
        <w:spacing w:after="160"/>
      </w:pPr>
      <w:r>
        <w:rPr>
          <w:b/>
          <w:bCs/>
          <w:sz w:val="24"/>
          <w:szCs w:val="24"/>
        </w:rPr>
        <w:t>The prevention paradox.</w:t>
      </w:r>
      <w:r>
        <w:rPr>
          <w:sz w:val="24"/>
          <w:szCs w:val="24"/>
        </w:rPr>
        <w:t xml:space="preserve"> The harm from leaded gasoline was diffuse: tens of millions of people, primarily children, experiencing measurable but individually invisible cognitive impairment from chronic low-level exposure. The benefit of keeping lead in gasoline was concentrated: a few companies, their shareholders, and their workers in the lead additive business. Diffuse harms to many generate less political force than concentrated costs to a few. Hamilton’s constituency—the children losing IQ points they never knew they had—had no voice and no organization.</w:t>
      </w:r>
    </w:p>
    <w:p w14:paraId="58C1255F" w14:textId="77777777" w:rsidR="00601717" w:rsidRDefault="00D17A34">
      <w:pPr>
        <w:spacing w:after="160"/>
      </w:pPr>
      <w:r>
        <w:rPr>
          <w:b/>
          <w:bCs/>
          <w:sz w:val="24"/>
          <w:szCs w:val="24"/>
        </w:rPr>
        <w:t>Social norms.</w:t>
      </w:r>
      <w:r>
        <w:rPr>
          <w:sz w:val="24"/>
          <w:szCs w:val="24"/>
        </w:rPr>
        <w:t xml:space="preserve"> Industrial risk was normalized in Hamilton’s era. Workers were expected to absorb the hazards of their occupation. Occupational disease was seen as an inherent cost of industrial production, not as a preventable harm for which employers and the state bore responsibility. Hamilton spent her career arguing against this norm, with partial success—worker protection laws passed, conditions improved in many industries—but the normalization of industrial risk created a default presumption against the kind of precautionary regulation she was advocating for leaded gasoline.</w:t>
      </w:r>
    </w:p>
    <w:p w14:paraId="04C38EC6" w14:textId="77777777" w:rsidR="00601717" w:rsidRDefault="00D17A34">
      <w:pPr>
        <w:spacing w:after="160"/>
      </w:pPr>
      <w:r>
        <w:rPr>
          <w:b/>
          <w:bCs/>
          <w:sz w:val="24"/>
          <w:szCs w:val="24"/>
        </w:rPr>
        <w:t>Hyperbolic discounting.</w:t>
      </w:r>
      <w:r>
        <w:rPr>
          <w:sz w:val="24"/>
          <w:szCs w:val="24"/>
        </w:rPr>
        <w:t xml:space="preserve"> Lead’s harms are chronic and cumulative. The child whose development was impaired by lead exposure in 1940 could not connect that harm to the gasoline burned in the family car. The cognitive damage from chronic low-level exposure was invisible in real time. Against this invisible future harm, the economic benefits of leaded gasoline were immediate, tangible, and politically organized. Societies consistently underweight harms that are distant, cumulative, and hard to attribute—even when the science is clear.</w:t>
      </w:r>
    </w:p>
    <w:p w14:paraId="5D48EC90" w14:textId="77777777" w:rsidR="00601717" w:rsidRDefault="00D17A34">
      <w:pPr>
        <w:spacing w:before="280" w:after="100"/>
      </w:pPr>
      <w:r>
        <w:rPr>
          <w:b/>
          <w:bCs/>
          <w:caps/>
          <w:color w:val="222222"/>
          <w:sz w:val="22"/>
          <w:szCs w:val="22"/>
        </w:rPr>
        <w:t>What Hamilton Got Right</w:t>
      </w:r>
    </w:p>
    <w:p w14:paraId="51A837B6" w14:textId="77777777" w:rsidR="00601717" w:rsidRDefault="00D17A34">
      <w:pPr>
        <w:spacing w:after="160"/>
      </w:pPr>
      <w:r>
        <w:rPr>
          <w:sz w:val="24"/>
          <w:szCs w:val="24"/>
        </w:rPr>
        <w:t>Hamilton’s method—going into workplaces, talking to workers, tracing illness to its industrial cause—was exactly right. She made occupational disease visible. Her approach to industrial investigation became the model for modern occupational epidemiology.</w:t>
      </w:r>
    </w:p>
    <w:p w14:paraId="3D6E346F" w14:textId="77777777" w:rsidR="00601717" w:rsidRDefault="00D17A34">
      <w:pPr>
        <w:spacing w:after="160"/>
      </w:pPr>
      <w:r>
        <w:rPr>
          <w:sz w:val="24"/>
          <w:szCs w:val="24"/>
        </w:rPr>
        <w:t>She also understood that evidence alone is insufficient. She cultivated relationships with labor unions, women’s organizations, and social reform networks that gave her findings an organizational base. She testified before legislatures. She connected occupational disease to broader reform agendas. She understood that scientific findings must travel through political institutions to produce policy change—and that those institutions are not neutral.</w:t>
      </w:r>
    </w:p>
    <w:p w14:paraId="47DE4EB4" w14:textId="77777777" w:rsidR="00601717" w:rsidRDefault="00D17A34">
      <w:pPr>
        <w:spacing w:after="160"/>
      </w:pPr>
      <w:r>
        <w:rPr>
          <w:sz w:val="24"/>
          <w:szCs w:val="24"/>
        </w:rPr>
        <w:t>What she could not overcome—and what the Cassandra curse framework explains—was the systematic economic and political advantage of the industries she was fighting. They had resources she did not. They had institutional relationships she could not match. They operated in a regulatory environment they had helped to build.</w:t>
      </w:r>
    </w:p>
    <w:p w14:paraId="367E3B10" w14:textId="77777777" w:rsidR="00601717" w:rsidRDefault="00D17A34">
      <w:pPr>
        <w:spacing w:before="280" w:after="100"/>
      </w:pPr>
      <w:r>
        <w:rPr>
          <w:b/>
          <w:bCs/>
          <w:caps/>
          <w:color w:val="222222"/>
          <w:sz w:val="22"/>
          <w:szCs w:val="22"/>
        </w:rPr>
        <w:t>The Long Run</w:t>
      </w:r>
    </w:p>
    <w:p w14:paraId="23ACAF54" w14:textId="77777777" w:rsidR="00601717" w:rsidRDefault="00D17A34">
      <w:pPr>
        <w:spacing w:after="160"/>
      </w:pPr>
      <w:r>
        <w:rPr>
          <w:sz w:val="24"/>
          <w:szCs w:val="24"/>
        </w:rPr>
        <w:t xml:space="preserve">The story does not end with Hamilton’s defeat. Research in the 1970s documenting cognitive effects of low-level lead exposure at population scale—and geochemical research demonstrating that “natural” lead levels in the environment were themselves an industrial artifact—strengthened the scientific case. </w:t>
      </w:r>
      <w:r>
        <w:rPr>
          <w:sz w:val="24"/>
          <w:szCs w:val="24"/>
        </w:rPr>
        <w:lastRenderedPageBreak/>
        <w:t>The Clean Air Act amendments, EPA rulemaking, and sustained advocacy from public health organizations produced the final phaseout. The lead industry fought every step through litigation, funding counter-research, and lobbying—the same playbook used against Hamilton fifty years earlier.</w:t>
      </w:r>
    </w:p>
    <w:p w14:paraId="32CEED2D" w14:textId="77777777" w:rsidR="00601717" w:rsidRDefault="00D17A34">
      <w:pPr>
        <w:spacing w:after="160"/>
      </w:pPr>
      <w:r>
        <w:rPr>
          <w:sz w:val="24"/>
          <w:szCs w:val="24"/>
        </w:rPr>
        <w:t>By the 1970s, the institutional conditions had changed: the EPA existed, environmental advocacy organizations had resources and legal standing, and the political coalition supporting the phaseout of leaded gasoline was broad and organized.</w:t>
      </w:r>
    </w:p>
    <w:p w14:paraId="476DB203" w14:textId="77777777" w:rsidR="00601717" w:rsidRDefault="00D17A34">
      <w:pPr>
        <w:spacing w:before="280" w:after="100"/>
      </w:pPr>
      <w:r>
        <w:rPr>
          <w:b/>
          <w:bCs/>
          <w:caps/>
          <w:color w:val="222222"/>
          <w:sz w:val="22"/>
          <w:szCs w:val="22"/>
        </w:rPr>
        <w:t>Discussion Questions</w:t>
      </w:r>
    </w:p>
    <w:p w14:paraId="5652EEB0" w14:textId="77777777" w:rsidR="00601717" w:rsidRDefault="00D17A34">
      <w:pPr>
        <w:spacing w:after="160"/>
      </w:pPr>
      <w:r>
        <w:rPr>
          <w:b/>
          <w:bCs/>
          <w:sz w:val="24"/>
          <w:szCs w:val="24"/>
        </w:rPr>
        <w:t>1.</w:t>
      </w:r>
      <w:r>
        <w:rPr>
          <w:sz w:val="24"/>
          <w:szCs w:val="24"/>
        </w:rPr>
        <w:t xml:space="preserve"> Which Cassandra curse drivers were operating in Hamilton’s case? Which was most important, and why? What drivers were absent from this case that are often present in other public health failures?</w:t>
      </w:r>
    </w:p>
    <w:p w14:paraId="469BA85C" w14:textId="77777777" w:rsidR="00601717" w:rsidRDefault="00D17A34">
      <w:pPr>
        <w:spacing w:after="160"/>
      </w:pPr>
      <w:r>
        <w:rPr>
          <w:b/>
          <w:bCs/>
          <w:sz w:val="24"/>
          <w:szCs w:val="24"/>
        </w:rPr>
        <w:t>2.</w:t>
      </w:r>
      <w:r>
        <w:rPr>
          <w:sz w:val="24"/>
          <w:szCs w:val="24"/>
        </w:rPr>
        <w:t xml:space="preserve"> The gasoline industry funded research and public officials without disclosing those relationships. How should public health advocates prevent, identify and respond to hidden economic interests?</w:t>
      </w:r>
    </w:p>
    <w:p w14:paraId="5C96A3C4" w14:textId="77777777" w:rsidR="00601717" w:rsidRDefault="00D17A34">
      <w:pPr>
        <w:spacing w:before="280" w:after="100"/>
      </w:pPr>
      <w:r>
        <w:rPr>
          <w:b/>
          <w:bCs/>
          <w:caps/>
          <w:color w:val="222222"/>
          <w:sz w:val="22"/>
          <w:szCs w:val="22"/>
        </w:rPr>
        <w:t>Small-Group Discussion Topics</w:t>
      </w:r>
    </w:p>
    <w:p w14:paraId="1A1587F2" w14:textId="77777777" w:rsidR="00601717" w:rsidRDefault="00D17A34">
      <w:pPr>
        <w:spacing w:after="160"/>
      </w:pPr>
      <w:r>
        <w:rPr>
          <w:b/>
          <w:bCs/>
          <w:sz w:val="24"/>
          <w:szCs w:val="24"/>
        </w:rPr>
        <w:t>1.</w:t>
      </w:r>
      <w:r>
        <w:rPr>
          <w:sz w:val="24"/>
          <w:szCs w:val="24"/>
        </w:rPr>
        <w:t xml:space="preserve"> Select a contemporary public health problem where economic interests are blocking action despite strong evidence—unhealthy food, tobacco, pharmaceutical pricing, fossil fuels and air pollution. Apply the Cassandra curse drivers to your case: which are most active? What would it take to overcome each one?</w:t>
      </w:r>
    </w:p>
    <w:p w14:paraId="470D1E6A" w14:textId="77777777" w:rsidR="00601717" w:rsidRDefault="00D17A34">
      <w:pPr>
        <w:spacing w:after="160"/>
      </w:pPr>
      <w:r>
        <w:rPr>
          <w:b/>
          <w:bCs/>
          <w:sz w:val="24"/>
          <w:szCs w:val="24"/>
        </w:rPr>
        <w:t>2.</w:t>
      </w:r>
      <w:r>
        <w:rPr>
          <w:sz w:val="24"/>
          <w:szCs w:val="24"/>
        </w:rPr>
        <w:t xml:space="preserve"> Hamilton’s evidence was scientifically sound but institutionally defeated. What does “sound evidence” require to become policy?</w:t>
      </w:r>
    </w:p>
    <w:sectPr w:rsidR="00601717">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44DC" w14:textId="77777777" w:rsidR="001A0E28" w:rsidRDefault="001A0E28">
      <w:r>
        <w:separator/>
      </w:r>
    </w:p>
  </w:endnote>
  <w:endnote w:type="continuationSeparator" w:id="0">
    <w:p w14:paraId="53502FF2" w14:textId="77777777" w:rsidR="001A0E28" w:rsidRDefault="001A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431F" w14:textId="5FF8BEEF" w:rsidR="00601717" w:rsidRDefault="00D17A34">
    <w:pPr>
      <w:jc w:val="center"/>
    </w:pPr>
    <w:r>
      <w:rPr>
        <w:color w:val="888888"/>
        <w:sz w:val="18"/>
        <w:szCs w:val="18"/>
      </w:rPr>
      <w:t xml:space="preserve">The Formula for Better Health  ·  MIT Press, 2025  ·  </w:t>
    </w:r>
    <w:r w:rsidR="00891269">
      <w:rPr>
        <w:color w:val="888888"/>
        <w:sz w:val="18"/>
        <w:szCs w:val="18"/>
      </w:rPr>
      <w:t>theformulaforbetterhealth.net/</w:t>
    </w:r>
    <w:r w:rsidR="00891269">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C3A1" w14:textId="77777777" w:rsidR="001A0E28" w:rsidRDefault="001A0E28">
      <w:r>
        <w:separator/>
      </w:r>
    </w:p>
  </w:footnote>
  <w:footnote w:type="continuationSeparator" w:id="0">
    <w:p w14:paraId="460B9DB9" w14:textId="77777777" w:rsidR="001A0E28" w:rsidRDefault="001A0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401B"/>
    <w:multiLevelType w:val="hybridMultilevel"/>
    <w:tmpl w:val="1D082E08"/>
    <w:lvl w:ilvl="0" w:tplc="38905956">
      <w:start w:val="1"/>
      <w:numFmt w:val="bullet"/>
      <w:lvlText w:val="●"/>
      <w:lvlJc w:val="left"/>
      <w:pPr>
        <w:ind w:left="720" w:hanging="360"/>
      </w:pPr>
    </w:lvl>
    <w:lvl w:ilvl="1" w:tplc="A98A8562">
      <w:start w:val="1"/>
      <w:numFmt w:val="bullet"/>
      <w:lvlText w:val="○"/>
      <w:lvlJc w:val="left"/>
      <w:pPr>
        <w:ind w:left="1440" w:hanging="360"/>
      </w:pPr>
    </w:lvl>
    <w:lvl w:ilvl="2" w:tplc="97FE6D0A">
      <w:start w:val="1"/>
      <w:numFmt w:val="bullet"/>
      <w:lvlText w:val="■"/>
      <w:lvlJc w:val="left"/>
      <w:pPr>
        <w:ind w:left="2160" w:hanging="360"/>
      </w:pPr>
    </w:lvl>
    <w:lvl w:ilvl="3" w:tplc="85AA4306">
      <w:start w:val="1"/>
      <w:numFmt w:val="bullet"/>
      <w:lvlText w:val="●"/>
      <w:lvlJc w:val="left"/>
      <w:pPr>
        <w:ind w:left="2880" w:hanging="360"/>
      </w:pPr>
    </w:lvl>
    <w:lvl w:ilvl="4" w:tplc="C2048DA0">
      <w:start w:val="1"/>
      <w:numFmt w:val="bullet"/>
      <w:lvlText w:val="○"/>
      <w:lvlJc w:val="left"/>
      <w:pPr>
        <w:ind w:left="3600" w:hanging="360"/>
      </w:pPr>
    </w:lvl>
    <w:lvl w:ilvl="5" w:tplc="993AD724">
      <w:start w:val="1"/>
      <w:numFmt w:val="bullet"/>
      <w:lvlText w:val="■"/>
      <w:lvlJc w:val="left"/>
      <w:pPr>
        <w:ind w:left="4320" w:hanging="360"/>
      </w:pPr>
    </w:lvl>
    <w:lvl w:ilvl="6" w:tplc="FD3A452C">
      <w:start w:val="1"/>
      <w:numFmt w:val="bullet"/>
      <w:lvlText w:val="●"/>
      <w:lvlJc w:val="left"/>
      <w:pPr>
        <w:ind w:left="5040" w:hanging="360"/>
      </w:pPr>
    </w:lvl>
    <w:lvl w:ilvl="7" w:tplc="FE1C0736">
      <w:start w:val="1"/>
      <w:numFmt w:val="bullet"/>
      <w:lvlText w:val="●"/>
      <w:lvlJc w:val="left"/>
      <w:pPr>
        <w:ind w:left="5760" w:hanging="360"/>
      </w:pPr>
    </w:lvl>
    <w:lvl w:ilvl="8" w:tplc="206E5D1C">
      <w:start w:val="1"/>
      <w:numFmt w:val="bullet"/>
      <w:lvlText w:val="●"/>
      <w:lvlJc w:val="left"/>
      <w:pPr>
        <w:ind w:left="6480" w:hanging="360"/>
      </w:pPr>
    </w:lvl>
  </w:abstractNum>
  <w:num w:numId="1" w16cid:durableId="3566649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17"/>
    <w:rsid w:val="001A0E28"/>
    <w:rsid w:val="00601717"/>
    <w:rsid w:val="006A3CF1"/>
    <w:rsid w:val="00891269"/>
    <w:rsid w:val="00957C8C"/>
    <w:rsid w:val="00B466FB"/>
    <w:rsid w:val="00D1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48D84"/>
  <w15:docId w15:val="{D1C86734-A699-F646-90E6-F3DAB05B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91269"/>
    <w:pPr>
      <w:tabs>
        <w:tab w:val="center" w:pos="4680"/>
        <w:tab w:val="right" w:pos="9360"/>
      </w:tabs>
    </w:pPr>
  </w:style>
  <w:style w:type="character" w:customStyle="1" w:styleId="HeaderChar">
    <w:name w:val="Header Char"/>
    <w:basedOn w:val="DefaultParagraphFont"/>
    <w:link w:val="Header"/>
    <w:uiPriority w:val="99"/>
    <w:rsid w:val="00891269"/>
  </w:style>
  <w:style w:type="paragraph" w:styleId="Footer">
    <w:name w:val="footer"/>
    <w:basedOn w:val="Normal"/>
    <w:link w:val="FooterChar"/>
    <w:uiPriority w:val="99"/>
    <w:unhideWhenUsed/>
    <w:rsid w:val="00891269"/>
    <w:pPr>
      <w:tabs>
        <w:tab w:val="center" w:pos="4680"/>
        <w:tab w:val="right" w:pos="9360"/>
      </w:tabs>
    </w:pPr>
  </w:style>
  <w:style w:type="character" w:customStyle="1" w:styleId="FooterChar">
    <w:name w:val="Footer Char"/>
    <w:basedOn w:val="DefaultParagraphFont"/>
    <w:link w:val="Footer"/>
    <w:uiPriority w:val="99"/>
    <w:rsid w:val="0089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03A16-ED68-4275-903A-8E5BAC34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7D2BA-50A6-4027-A58B-04617CBEE1BE}">
  <ds:schemaRefs>
    <ds:schemaRef ds:uri="http://schemas.microsoft.com/office/2006/metadata/properties"/>
    <ds:schemaRef ds:uri="http://schemas.microsoft.com/office/infopath/2007/PartnerControls"/>
    <ds:schemaRef ds:uri="89c6c834-5500-4d34-8d4a-2e90563177f5"/>
  </ds:schemaRefs>
</ds:datastoreItem>
</file>

<file path=customXml/itemProps3.xml><?xml version="1.0" encoding="utf-8"?>
<ds:datastoreItem xmlns:ds="http://schemas.openxmlformats.org/officeDocument/2006/customXml" ds:itemID="{7D3CF09A-ABF2-4C1C-BDF8-48054C3AF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7220</Characters>
  <Application>Microsoft Office Word</Application>
  <DocSecurity>0</DocSecurity>
  <Lines>104</Lines>
  <Paragraphs>33</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2026-03-16T20:24:00Z</dcterms:created>
  <dcterms:modified xsi:type="dcterms:W3CDTF">2026-03-16T20:59:00Z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2026-03-16T20:24:13Z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27740109-148e-42bd-acf3-35d7e7ecc85f</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