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B4D6" w14:textId="77777777" w:rsidR="006B188C" w:rsidRDefault="006B188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6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6500"/>
        <w:gridCol w:w="2860"/>
      </w:tblGrid>
      <w:tr w:rsidR="006B188C" w14:paraId="490518DE" w14:textId="77777777">
        <w:tc>
          <w:tcPr>
            <w:tcW w:w="6500" w:type="dxa"/>
            <w:tcBorders>
              <w:top w:val="nil"/>
              <w:left w:val="nil"/>
              <w:bottom w:val="nil"/>
              <w:right w:val="nil"/>
            </w:tcBorders>
            <w:shd w:val="clear" w:color="auto" w:fill="008B8B"/>
            <w:tcMar>
              <w:top w:w="80" w:type="dxa"/>
              <w:left w:w="160" w:type="dxa"/>
              <w:bottom w:w="80" w:type="dxa"/>
              <w:right w:w="80" w:type="dxa"/>
            </w:tcMar>
          </w:tcPr>
          <w:p w14:paraId="134C7546" w14:textId="77777777" w:rsidR="006B188C" w:rsidRDefault="00013563">
            <w:r>
              <w:rPr>
                <w:rFonts w:ascii="Arial" w:eastAsia="Arial" w:hAnsi="Arial" w:cs="Arial"/>
                <w:b/>
                <w:bCs/>
                <w:color w:val="FFFFFF"/>
                <w:sz w:val="16"/>
                <w:szCs w:val="16"/>
              </w:rPr>
              <w:t>THE FORMULA FOR BETTER HEALTH  ·  CASE STUDY: SEE/BELIEVE/CREATE</w:t>
            </w:r>
          </w:p>
        </w:tc>
        <w:tc>
          <w:tcPr>
            <w:tcW w:w="2860" w:type="dxa"/>
            <w:tcBorders>
              <w:top w:val="nil"/>
              <w:left w:val="nil"/>
              <w:bottom w:val="nil"/>
              <w:right w:val="nil"/>
            </w:tcBorders>
            <w:shd w:val="clear" w:color="auto" w:fill="CCCCCC"/>
            <w:tcMar>
              <w:top w:w="80" w:type="dxa"/>
              <w:left w:w="80" w:type="dxa"/>
              <w:bottom w:w="80" w:type="dxa"/>
              <w:right w:w="160" w:type="dxa"/>
            </w:tcMar>
            <w:vAlign w:val="center"/>
          </w:tcPr>
          <w:p w14:paraId="773BB7BF" w14:textId="77777777" w:rsidR="006B188C" w:rsidRDefault="00013563">
            <w:pPr>
              <w:jc w:val="center"/>
            </w:pPr>
            <w:r>
              <w:rPr>
                <w:rFonts w:ascii="Arial" w:eastAsia="Arial" w:hAnsi="Arial" w:cs="Arial"/>
                <w:b/>
                <w:bCs/>
                <w:color w:val="444444"/>
                <w:sz w:val="16"/>
                <w:szCs w:val="16"/>
              </w:rPr>
              <w:t>INSTRUCTOR GUIDE</w:t>
            </w:r>
          </w:p>
        </w:tc>
      </w:tr>
    </w:tbl>
    <w:p w14:paraId="6397C780" w14:textId="77777777" w:rsidR="006B188C" w:rsidRDefault="00013563">
      <w:pPr>
        <w:spacing w:before="200" w:after="60"/>
      </w:pPr>
      <w:r>
        <w:rPr>
          <w:b/>
          <w:bCs/>
          <w:sz w:val="36"/>
          <w:szCs w:val="36"/>
        </w:rPr>
        <w:t>Alice Hamilton and the Cassandra Curse: Evidence, Interests, and Invisible Harm—Instructor Guide</w:t>
      </w:r>
    </w:p>
    <w:p w14:paraId="50CD64F2" w14:textId="77777777" w:rsidR="006B188C" w:rsidRDefault="006B188C">
      <w:pPr>
        <w:pBdr>
          <w:bottom w:val="single" w:sz="4" w:space="0" w:color="008B8B"/>
        </w:pBdr>
      </w:pPr>
    </w:p>
    <w:p w14:paraId="72A683E2" w14:textId="77777777" w:rsidR="006B188C" w:rsidRDefault="00013563">
      <w:pPr>
        <w:spacing w:before="280" w:after="100"/>
      </w:pPr>
      <w:r>
        <w:rPr>
          <w:b/>
          <w:bCs/>
          <w:smallCaps/>
          <w:color w:val="222222"/>
          <w:sz w:val="22"/>
          <w:szCs w:val="22"/>
        </w:rPr>
        <w:t>PURPOSE</w:t>
      </w:r>
    </w:p>
    <w:p w14:paraId="791E6B7C" w14:textId="77777777" w:rsidR="006B188C" w:rsidRDefault="00013563">
      <w:pPr>
        <w:spacing w:after="160"/>
      </w:pPr>
      <w:r>
        <w:rPr>
          <w:sz w:val="24"/>
          <w:szCs w:val="24"/>
        </w:rPr>
        <w:t>This guide supports teaching of the Alice Hamilton case study in courses on public health practice, public health policy, public health history, or political economy of health. The case illustrates why rigorous evidence is necessary but not sufficient for policy change—and why the gap between evidence and action is not random. Hamilton’s failure to get lead removed from gasoline reveals how economic interests, operating invisibly, can defeat science that is never seriously disputed. The case uses the Cassandra curse framework from Chapter 2 to name the mechanisms, building a diagnostic vocabulary students can apply to contemporary problems.</w:t>
      </w:r>
    </w:p>
    <w:p w14:paraId="1F0E73F4" w14:textId="77777777" w:rsidR="006B188C" w:rsidRDefault="00013563">
      <w:pPr>
        <w:spacing w:before="280" w:after="100"/>
      </w:pPr>
      <w:r>
        <w:rPr>
          <w:b/>
          <w:bCs/>
          <w:smallCaps/>
          <w:color w:val="222222"/>
          <w:sz w:val="22"/>
          <w:szCs w:val="22"/>
        </w:rPr>
        <w:t>COURSE FIT AND SUGGESTED USE</w:t>
      </w:r>
    </w:p>
    <w:p w14:paraId="08830D85" w14:textId="77777777" w:rsidR="006B188C" w:rsidRDefault="00013563">
      <w:pPr>
        <w:spacing w:after="160"/>
      </w:pPr>
      <w:r>
        <w:rPr>
          <w:b/>
          <w:bCs/>
          <w:sz w:val="24"/>
          <w:szCs w:val="24"/>
        </w:rPr>
        <w:t>Best fit:</w:t>
      </w:r>
      <w:r>
        <w:rPr>
          <w:sz w:val="24"/>
          <w:szCs w:val="24"/>
        </w:rPr>
        <w:t xml:space="preserve"> public health history, public health policy, introduction to public health, or political economy of health.</w:t>
      </w:r>
    </w:p>
    <w:p w14:paraId="26AA4B6F" w14:textId="77777777" w:rsidR="006B188C" w:rsidRDefault="00013563">
      <w:pPr>
        <w:spacing w:after="160"/>
      </w:pPr>
      <w:r>
        <w:rPr>
          <w:b/>
          <w:bCs/>
          <w:sz w:val="24"/>
          <w:szCs w:val="24"/>
        </w:rPr>
        <w:t>Level:</w:t>
      </w:r>
      <w:r>
        <w:rPr>
          <w:sz w:val="24"/>
          <w:szCs w:val="24"/>
        </w:rPr>
        <w:t xml:space="preserve"> upper-level undergraduate or graduate.</w:t>
      </w:r>
    </w:p>
    <w:p w14:paraId="6E1CA9ED" w14:textId="77777777" w:rsidR="006B188C" w:rsidRDefault="00013563">
      <w:pPr>
        <w:spacing w:after="160"/>
      </w:pPr>
      <w:r>
        <w:rPr>
          <w:b/>
          <w:bCs/>
          <w:sz w:val="24"/>
          <w:szCs w:val="24"/>
        </w:rPr>
        <w:t>Time:</w:t>
      </w:r>
      <w:r>
        <w:rPr>
          <w:sz w:val="24"/>
          <w:szCs w:val="24"/>
        </w:rPr>
        <w:t xml:space="preserve"> one 60-minute session. Can extend to 90 minutes with small-group driver-mapping.</w:t>
      </w:r>
    </w:p>
    <w:p w14:paraId="5CAFE9AC" w14:textId="77777777" w:rsidR="006B188C" w:rsidRDefault="00013563">
      <w:pPr>
        <w:spacing w:after="160"/>
      </w:pPr>
      <w:r>
        <w:rPr>
          <w:b/>
          <w:bCs/>
          <w:sz w:val="24"/>
          <w:szCs w:val="24"/>
        </w:rPr>
        <w:t>Placement:</w:t>
      </w:r>
      <w:r>
        <w:rPr>
          <w:sz w:val="24"/>
          <w:szCs w:val="24"/>
        </w:rPr>
        <w:t xml:space="preserve"> works best after students have read Chapter 2 of </w:t>
      </w:r>
      <w:r>
        <w:rPr>
          <w:i/>
          <w:iCs/>
          <w:sz w:val="24"/>
          <w:szCs w:val="24"/>
        </w:rPr>
        <w:t>The Formula for Better Health</w:t>
      </w:r>
      <w:r>
        <w:rPr>
          <w:sz w:val="24"/>
          <w:szCs w:val="24"/>
        </w:rPr>
        <w:t xml:space="preserve"> and have been introduced to the six Cassandra curse drivers.</w:t>
      </w:r>
    </w:p>
    <w:p w14:paraId="63A45FFF" w14:textId="77777777" w:rsidR="006B188C" w:rsidRDefault="00013563">
      <w:pPr>
        <w:spacing w:before="280" w:after="100"/>
      </w:pPr>
      <w:r>
        <w:rPr>
          <w:b/>
          <w:bCs/>
          <w:smallCaps/>
          <w:color w:val="222222"/>
          <w:sz w:val="22"/>
          <w:szCs w:val="22"/>
        </w:rPr>
        <w:t>LEARNING OBJECTIVES</w:t>
      </w:r>
    </w:p>
    <w:p w14:paraId="3403A4C9" w14:textId="77777777" w:rsidR="006B188C" w:rsidRDefault="00013563">
      <w:pPr>
        <w:spacing w:after="160"/>
      </w:pPr>
      <w:r>
        <w:rPr>
          <w:sz w:val="24"/>
          <w:szCs w:val="24"/>
        </w:rPr>
        <w:t>By the end of the session, students should be able to:</w:t>
      </w:r>
    </w:p>
    <w:p w14:paraId="0AD5831F" w14:textId="77777777" w:rsidR="006B188C" w:rsidRDefault="00013563">
      <w:pPr>
        <w:spacing w:before="40" w:after="80"/>
        <w:ind w:left="360" w:hanging="280"/>
      </w:pPr>
      <w:r>
        <w:rPr>
          <w:sz w:val="24"/>
          <w:szCs w:val="24"/>
        </w:rPr>
        <w:t>• Identify and apply the Cassandra curse drivers most relevant to a given public health failure.</w:t>
      </w:r>
    </w:p>
    <w:p w14:paraId="3C13F668" w14:textId="77777777" w:rsidR="006B188C" w:rsidRDefault="00013563">
      <w:pPr>
        <w:spacing w:before="40" w:after="80"/>
        <w:ind w:left="360" w:hanging="280"/>
      </w:pPr>
      <w:r>
        <w:rPr>
          <w:sz w:val="24"/>
          <w:szCs w:val="24"/>
        </w:rPr>
        <w:t>• Explain how economic interests can be a major obstacle to evidence-based policy change—and recognize that other drivers may be equally or more important in specific cases.</w:t>
      </w:r>
    </w:p>
    <w:p w14:paraId="64E0CBD2" w14:textId="77777777" w:rsidR="006B188C" w:rsidRDefault="00013563">
      <w:pPr>
        <w:spacing w:before="40" w:after="80"/>
        <w:ind w:left="360" w:hanging="280"/>
      </w:pPr>
      <w:r>
        <w:rPr>
          <w:sz w:val="24"/>
          <w:szCs w:val="24"/>
        </w:rPr>
        <w:t>• Distinguish diffuse harms to many from concentrated benefits to few and explain why this asymmetry shapes political outcomes.</w:t>
      </w:r>
    </w:p>
    <w:p w14:paraId="1EF8218A" w14:textId="77777777" w:rsidR="006B188C" w:rsidRDefault="00013563">
      <w:pPr>
        <w:spacing w:before="40" w:after="80"/>
        <w:ind w:left="360" w:hanging="280"/>
      </w:pPr>
      <w:r>
        <w:rPr>
          <w:sz w:val="24"/>
          <w:szCs w:val="24"/>
        </w:rPr>
        <w:t>• Identify at least one mitigation strategy for each relevant Cassandra curse driver in a given case.</w:t>
      </w:r>
    </w:p>
    <w:p w14:paraId="302B7457" w14:textId="77777777" w:rsidR="006B188C" w:rsidRDefault="00013563">
      <w:pPr>
        <w:spacing w:before="280" w:after="100"/>
      </w:pPr>
      <w:r>
        <w:rPr>
          <w:b/>
          <w:bCs/>
          <w:smallCaps/>
          <w:color w:val="222222"/>
          <w:sz w:val="22"/>
          <w:szCs w:val="22"/>
        </w:rPr>
        <w:t>SESSION STRUCTURE (60 MINUTES)</w:t>
      </w:r>
    </w:p>
    <w:p w14:paraId="0E1AF2D8" w14:textId="77777777" w:rsidR="006B188C" w:rsidRDefault="00013563">
      <w:pPr>
        <w:spacing w:after="160"/>
      </w:pPr>
      <w:r>
        <w:rPr>
          <w:b/>
          <w:bCs/>
          <w:sz w:val="24"/>
          <w:szCs w:val="24"/>
        </w:rPr>
        <w:t>0–5 min</w:t>
      </w:r>
      <w:r>
        <w:rPr>
          <w:sz w:val="24"/>
          <w:szCs w:val="24"/>
        </w:rPr>
        <w:t xml:space="preserve"> — Opening: ask two students to read their preparation question responses aloud. Note the range of explanations without adjudicating them.</w:t>
      </w:r>
    </w:p>
    <w:p w14:paraId="3AE2F5A7" w14:textId="77777777" w:rsidR="006B188C" w:rsidRDefault="00013563">
      <w:pPr>
        <w:spacing w:after="160"/>
      </w:pPr>
      <w:r>
        <w:rPr>
          <w:b/>
          <w:bCs/>
          <w:sz w:val="24"/>
          <w:szCs w:val="24"/>
        </w:rPr>
        <w:t>5–15 min</w:t>
      </w:r>
      <w:r>
        <w:rPr>
          <w:sz w:val="24"/>
          <w:szCs w:val="24"/>
        </w:rPr>
        <w:t xml:space="preserve"> — Brief lecture: the Cassandra curse framework, four drivers relevant to Hamilton, and Hamilton’s actual strategy.</w:t>
      </w:r>
    </w:p>
    <w:p w14:paraId="2FF6CF73" w14:textId="77777777" w:rsidR="006B188C" w:rsidRDefault="00013563">
      <w:pPr>
        <w:spacing w:after="160"/>
      </w:pPr>
      <w:r>
        <w:rPr>
          <w:b/>
          <w:bCs/>
          <w:sz w:val="24"/>
          <w:szCs w:val="24"/>
        </w:rPr>
        <w:t>15–35 min</w:t>
      </w:r>
      <w:r>
        <w:rPr>
          <w:sz w:val="24"/>
          <w:szCs w:val="24"/>
        </w:rPr>
        <w:t xml:space="preserve"> — Full-class discussion on Questions 1 and 2.</w:t>
      </w:r>
    </w:p>
    <w:p w14:paraId="2A814911" w14:textId="77777777" w:rsidR="006B188C" w:rsidRDefault="00013563">
      <w:pPr>
        <w:spacing w:after="160"/>
      </w:pPr>
      <w:r>
        <w:rPr>
          <w:b/>
          <w:bCs/>
          <w:sz w:val="24"/>
          <w:szCs w:val="24"/>
        </w:rPr>
        <w:t>35–55 min</w:t>
      </w:r>
      <w:r>
        <w:rPr>
          <w:sz w:val="24"/>
          <w:szCs w:val="24"/>
        </w:rPr>
        <w:t xml:space="preserve"> — Small-group driver mapping on a contemporary problem.</w:t>
      </w:r>
    </w:p>
    <w:p w14:paraId="3CDCE64B" w14:textId="77777777" w:rsidR="006B188C" w:rsidRDefault="00013563">
      <w:pPr>
        <w:spacing w:after="160"/>
      </w:pPr>
      <w:r>
        <w:rPr>
          <w:b/>
          <w:bCs/>
          <w:sz w:val="24"/>
          <w:szCs w:val="24"/>
        </w:rPr>
        <w:t>55–60 min</w:t>
      </w:r>
      <w:r>
        <w:rPr>
          <w:sz w:val="24"/>
          <w:szCs w:val="24"/>
        </w:rPr>
        <w:t xml:space="preserve"> — Synthesis: what would it take to break this curse?</w:t>
      </w:r>
    </w:p>
    <w:p w14:paraId="017BB247" w14:textId="1AFE69AF" w:rsidR="006B188C" w:rsidRPr="000067C6" w:rsidRDefault="000067C6" w:rsidP="000067C6">
      <w:pPr>
        <w:tabs>
          <w:tab w:val="left" w:pos="6890"/>
        </w:tabs>
        <w:spacing w:before="200" w:after="80"/>
        <w:rPr>
          <w:b/>
          <w:bCs/>
          <w:sz w:val="24"/>
          <w:szCs w:val="24"/>
        </w:rPr>
      </w:pPr>
      <w:r>
        <w:rPr>
          <w:b/>
          <w:bCs/>
          <w:sz w:val="24"/>
          <w:szCs w:val="24"/>
        </w:rPr>
        <w:tab/>
      </w:r>
    </w:p>
    <w:p w14:paraId="0172F7E8" w14:textId="77777777" w:rsidR="006B188C" w:rsidRDefault="00013563">
      <w:pPr>
        <w:spacing w:before="200" w:after="80"/>
      </w:pPr>
      <w:r>
        <w:rPr>
          <w:b/>
          <w:bCs/>
          <w:sz w:val="24"/>
          <w:szCs w:val="24"/>
        </w:rPr>
        <w:t>Opening (0–5 min)</w:t>
      </w:r>
    </w:p>
    <w:p w14:paraId="329D35E8" w14:textId="77777777" w:rsidR="006B188C" w:rsidRDefault="00013563">
      <w:pPr>
        <w:spacing w:after="160"/>
      </w:pPr>
      <w:r>
        <w:rPr>
          <w:sz w:val="24"/>
          <w:szCs w:val="24"/>
        </w:rPr>
        <w:t>Ask two or three students to read their preparation question responses aloud. Do not correct or adjudicate—let the range of explanations surface. Students will typically blame: insufficient evidence, political opposition, or Hamilton’s lack of political power. All are partially correct. The goal is to identify what is missing from those answers: a structural account of why economic interests systematically defeat evidence, and what conditions would need to change for evidence to win.</w:t>
      </w:r>
    </w:p>
    <w:p w14:paraId="5429D437" w14:textId="77777777" w:rsidR="006B188C" w:rsidRDefault="00013563">
      <w:pPr>
        <w:spacing w:before="200" w:after="80"/>
      </w:pPr>
      <w:r>
        <w:rPr>
          <w:b/>
          <w:bCs/>
          <w:sz w:val="24"/>
          <w:szCs w:val="24"/>
        </w:rPr>
        <w:t>Brief Lecture: The Cassandra Curse in Hamilton’s Case (5–15 min)</w:t>
      </w:r>
    </w:p>
    <w:p w14:paraId="63BF25BF" w14:textId="77777777" w:rsidR="006B188C" w:rsidRDefault="00013563">
      <w:pPr>
        <w:spacing w:after="160"/>
      </w:pPr>
      <w:r>
        <w:rPr>
          <w:sz w:val="24"/>
          <w:szCs w:val="24"/>
        </w:rPr>
        <w:t>Cover these points concisely. Students have read the handout; this is framing, not repetition.</w:t>
      </w:r>
    </w:p>
    <w:p w14:paraId="3717F7DD" w14:textId="77777777" w:rsidR="006B188C" w:rsidRDefault="00013563">
      <w:pPr>
        <w:spacing w:before="40" w:after="80"/>
        <w:ind w:left="360" w:hanging="280"/>
      </w:pPr>
      <w:r>
        <w:rPr>
          <w:sz w:val="24"/>
          <w:szCs w:val="24"/>
        </w:rPr>
        <w:t>• </w:t>
      </w:r>
      <w:r>
        <w:rPr>
          <w:b/>
          <w:bCs/>
          <w:sz w:val="24"/>
          <w:szCs w:val="24"/>
        </w:rPr>
        <w:t>The four relevant drivers:</w:t>
      </w:r>
      <w:r>
        <w:rPr>
          <w:sz w:val="24"/>
          <w:szCs w:val="24"/>
        </w:rPr>
        <w:t xml:space="preserve"> In this case, economic interests are the central driver—though they are not always the most important driver in every public health failure. Here, the gasoline industry funded research and officials invisibly. Prevention paradox: millions of children harmed invisibly vs. concentrated, organized industry profits. Social norms: industrial risk was normalized as the price of production. Hyperbolic discounting: chronic future harm vs. immediate economic benefit.</w:t>
      </w:r>
    </w:p>
    <w:p w14:paraId="2D8CAD35" w14:textId="77777777" w:rsidR="006B188C" w:rsidRDefault="00013563">
      <w:pPr>
        <w:spacing w:before="40" w:after="80"/>
        <w:ind w:left="360" w:hanging="280"/>
      </w:pPr>
      <w:r>
        <w:rPr>
          <w:sz w:val="24"/>
          <w:szCs w:val="24"/>
        </w:rPr>
        <w:t>• </w:t>
      </w:r>
      <w:r>
        <w:rPr>
          <w:b/>
          <w:bCs/>
          <w:sz w:val="24"/>
          <w:szCs w:val="24"/>
        </w:rPr>
        <w:t>The two drivers not operating:</w:t>
      </w:r>
      <w:r>
        <w:rPr>
          <w:sz w:val="24"/>
          <w:szCs w:val="24"/>
        </w:rPr>
        <w:t xml:space="preserve"> False alarms: Hamilton’s evidence was solid and was never seriously challenged on scientific grounds. Myth of unfettered free will: workers could not choose their exposure, so individual-choice framing did not apply.</w:t>
      </w:r>
    </w:p>
    <w:p w14:paraId="08DD8E84" w14:textId="77777777" w:rsidR="006B188C" w:rsidRDefault="00013563">
      <w:pPr>
        <w:spacing w:before="40" w:after="80"/>
        <w:ind w:left="360" w:hanging="280"/>
      </w:pPr>
      <w:r>
        <w:rPr>
          <w:sz w:val="24"/>
          <w:szCs w:val="24"/>
        </w:rPr>
        <w:t>• </w:t>
      </w:r>
      <w:r>
        <w:rPr>
          <w:b/>
          <w:bCs/>
          <w:sz w:val="24"/>
          <w:szCs w:val="24"/>
        </w:rPr>
        <w:t>Hamilton’s actual strategy:</w:t>
      </w:r>
      <w:r>
        <w:rPr>
          <w:sz w:val="24"/>
          <w:szCs w:val="24"/>
        </w:rPr>
        <w:t xml:space="preserve"> She did more than publish. She cultivated labor unions, women’s organizations, and social reform networks. She testified before legislatures. She understood that evidence must travel through political institutions. What she could not match was the institutional weight of the industries she was fighting.</w:t>
      </w:r>
    </w:p>
    <w:p w14:paraId="36B123A3" w14:textId="77777777" w:rsidR="006B188C" w:rsidRDefault="00013563">
      <w:pPr>
        <w:spacing w:before="40" w:after="80"/>
        <w:ind w:left="360" w:hanging="280"/>
      </w:pPr>
      <w:r>
        <w:rPr>
          <w:sz w:val="24"/>
          <w:szCs w:val="24"/>
        </w:rPr>
        <w:t>• </w:t>
      </w:r>
      <w:r>
        <w:rPr>
          <w:b/>
          <w:bCs/>
          <w:sz w:val="24"/>
          <w:szCs w:val="24"/>
        </w:rPr>
        <w:t>The structural point:</w:t>
      </w:r>
      <w:r>
        <w:rPr>
          <w:sz w:val="24"/>
          <w:szCs w:val="24"/>
        </w:rPr>
        <w:t xml:space="preserve"> The 1925 Surgeon General’s conference was not a scientific proceeding—it was a political one. The conclusion was determined by who was in the room and who funded their institutions. This is the lesson: when a well-evidenced intervention fails repeatedly, the first diagnostic question is who benefits from the status quo.</w:t>
      </w:r>
    </w:p>
    <w:p w14:paraId="44B0FB35" w14:textId="77777777" w:rsidR="006B188C" w:rsidRDefault="00013563">
      <w:pPr>
        <w:spacing w:after="160"/>
      </w:pPr>
      <w:r>
        <w:rPr>
          <w:sz w:val="24"/>
          <w:szCs w:val="24"/>
        </w:rPr>
        <w:t xml:space="preserve">Core framing: </w:t>
      </w:r>
      <w:r>
        <w:rPr>
          <w:b/>
          <w:bCs/>
          <w:sz w:val="24"/>
          <w:szCs w:val="24"/>
        </w:rPr>
        <w:t>Evidence is a necessary but not sufficient condition for policy change.</w:t>
      </w:r>
      <w:r>
        <w:rPr>
          <w:sz w:val="24"/>
          <w:szCs w:val="24"/>
        </w:rPr>
        <w:t xml:space="preserve"> The case asks students to identify the specific mechanisms by which evidence was defeated, not to conclude that politics is hopeless. Each mechanism has a known mitigation; the question is whether Hamilton had access to those mitigations in 1925.</w:t>
      </w:r>
    </w:p>
    <w:p w14:paraId="54A1F5AC" w14:textId="77777777" w:rsidR="006B188C" w:rsidRDefault="00013563">
      <w:pPr>
        <w:spacing w:before="280" w:after="100"/>
      </w:pPr>
      <w:r>
        <w:rPr>
          <w:b/>
          <w:bCs/>
          <w:smallCaps/>
          <w:color w:val="222222"/>
          <w:sz w:val="22"/>
          <w:szCs w:val="22"/>
        </w:rPr>
        <w:t>DISCUSSION QUESTION GUIDANCE</w:t>
      </w:r>
    </w:p>
    <w:p w14:paraId="645AA405" w14:textId="77777777" w:rsidR="006B188C" w:rsidRDefault="00013563">
      <w:pPr>
        <w:spacing w:after="200"/>
      </w:pPr>
      <w:r>
        <w:rPr>
          <w:i/>
          <w:iCs/>
          <w:sz w:val="24"/>
          <w:szCs w:val="24"/>
        </w:rPr>
        <w:t>Preparation question (repeated from handout): Alice Hamilton spent decades documenting occupational diseases and built an ironclad scientific record showing that lead poisoning was killing and disabling American workers. Despite that evidence, it took more than fifty years after her warnings for the United States to remove lead from gasoline. Using Chapter 2’s framework, what prevented her evidence from producing policy change?</w:t>
      </w:r>
    </w:p>
    <w:p w14:paraId="04533A2C" w14:textId="77777777" w:rsidR="006B188C" w:rsidRDefault="00013563">
      <w:pPr>
        <w:spacing w:before="200" w:after="80"/>
      </w:pPr>
      <w:r>
        <w:rPr>
          <w:b/>
          <w:bCs/>
          <w:sz w:val="24"/>
          <w:szCs w:val="24"/>
        </w:rPr>
        <w:t>Question 1 — Which Drivers Were Operating?</w:t>
      </w:r>
    </w:p>
    <w:p w14:paraId="07EB621C" w14:textId="77777777" w:rsidR="006B188C" w:rsidRDefault="00013563">
      <w:pPr>
        <w:spacing w:after="200"/>
      </w:pPr>
      <w:r>
        <w:rPr>
          <w:i/>
          <w:iCs/>
          <w:sz w:val="24"/>
          <w:szCs w:val="24"/>
        </w:rPr>
        <w:t>Discussion question: Which Cassandra curse drivers were operating in Hamilton’s case? Which was most important, and why? What drivers were absent from this case that are often present in other public health failures?</w:t>
      </w:r>
    </w:p>
    <w:p w14:paraId="6C1F8185" w14:textId="77777777" w:rsidR="006B188C" w:rsidRDefault="00013563">
      <w:pPr>
        <w:spacing w:after="160"/>
      </w:pPr>
      <w:r>
        <w:rPr>
          <w:sz w:val="24"/>
          <w:szCs w:val="24"/>
        </w:rPr>
        <w:t>This is the analytical core of the session. Push students toward precision: not just ‘economic interests’ but the specific mechanism by which those interests operated—funding of researchers and officials who would evaluate the evidence, without disclosure of those relationships. This is not corruption in the crude sense; it is the institutionalization of a conflict of interest. Students should be able to describe the mechanism, not just name the driver.</w:t>
      </w:r>
    </w:p>
    <w:p w14:paraId="0FB8B1BF" w14:textId="77777777" w:rsidR="006B188C" w:rsidRDefault="00013563">
      <w:pPr>
        <w:spacing w:after="160"/>
      </w:pPr>
      <w:r>
        <w:rPr>
          <w:sz w:val="24"/>
          <w:szCs w:val="24"/>
        </w:rPr>
        <w:t xml:space="preserve">On the prevention paradox: push students to identify the specific asymmetry. The winners—children whose cognitive development was protected—were diffuse, future, and counterfactual. The losers—the industry’s economic interests—were immediate, organized, and visible. Ask: what would it have taken to organize the winners in 1925? Who could have served as the equivalent of </w:t>
      </w:r>
      <w:proofErr w:type="spellStart"/>
      <w:r>
        <w:rPr>
          <w:sz w:val="24"/>
          <w:szCs w:val="24"/>
        </w:rPr>
        <w:t>Martinah</w:t>
      </w:r>
      <w:proofErr w:type="spellEnd"/>
      <w:r>
        <w:rPr>
          <w:sz w:val="24"/>
          <w:szCs w:val="24"/>
        </w:rPr>
        <w:t xml:space="preserve"> Payne-Yehuda—a person whose testimony made diffuse harm concrete and emotionally real?</w:t>
      </w:r>
    </w:p>
    <w:p w14:paraId="3B87AB8D" w14:textId="6A63BBBF" w:rsidR="006B188C" w:rsidRDefault="00013563">
      <w:pPr>
        <w:spacing w:after="160"/>
      </w:pPr>
      <w:r>
        <w:rPr>
          <w:sz w:val="24"/>
          <w:szCs w:val="24"/>
        </w:rPr>
        <w:t>On the absent drivers: false alarms are the most instructive absence. Hamilton’s evidence was never credibly challenged on scientific grounds—the industry knew its product was dangerous and worked to suppress that knowledge rather than refute it. This is different from a case where the evidence is genuinely disputed. In this case, when evidence is clear and policy fails, economic interests are almost always part of the explanation—though be alert to cases where social norms or hyperbolic discounting are equally important.</w:t>
      </w:r>
    </w:p>
    <w:p w14:paraId="5ECD1EC8" w14:textId="77777777" w:rsidR="006B188C" w:rsidRDefault="00013563">
      <w:pPr>
        <w:spacing w:before="200" w:after="80"/>
      </w:pPr>
      <w:r>
        <w:rPr>
          <w:b/>
          <w:bCs/>
          <w:sz w:val="24"/>
          <w:szCs w:val="24"/>
        </w:rPr>
        <w:t>Question 2 — Hidden Economic Interests</w:t>
      </w:r>
    </w:p>
    <w:p w14:paraId="7E22C155" w14:textId="77777777" w:rsidR="006B188C" w:rsidRDefault="00013563">
      <w:pPr>
        <w:spacing w:after="200"/>
      </w:pPr>
      <w:r>
        <w:rPr>
          <w:i/>
          <w:iCs/>
          <w:sz w:val="24"/>
          <w:szCs w:val="24"/>
        </w:rPr>
        <w:t>Discussion question: The gasoline industry funded research and public officials without disclosing those relationships. How should public health advocates prevent, identify and respond to hidden economic interests?</w:t>
      </w:r>
    </w:p>
    <w:p w14:paraId="165FE28D" w14:textId="77777777" w:rsidR="006B188C" w:rsidRDefault="00013563">
      <w:pPr>
        <w:spacing w:after="160"/>
      </w:pPr>
      <w:r>
        <w:rPr>
          <w:sz w:val="24"/>
          <w:szCs w:val="24"/>
        </w:rPr>
        <w:t>This question is applied and institutional. Students should move from naming the problem (‘economic interests operate invisibly’) to designing the solution. What would prevention require? Mandatory disclosure of industry funding before regulatory proceedings. What does identification require? Investigative journalism, conflicts registries, freedom-of-information requests. What does response require? Independent replication of industry-funded findings; regulatory bodies insulated from funders.</w:t>
      </w:r>
    </w:p>
    <w:p w14:paraId="7782FAAF" w14:textId="77777777" w:rsidR="006B188C" w:rsidRDefault="00013563">
      <w:pPr>
        <w:spacing w:after="160"/>
      </w:pPr>
      <w:r>
        <w:rPr>
          <w:sz w:val="24"/>
          <w:szCs w:val="24"/>
        </w:rPr>
        <w:t>Push students toward concrete design: what specific information should be disclosed, who collects it, what penalties make non-disclosure costly. The goal is to show that ‘economic interests operate invisibly’ is not a permanent condition—it is a design failure that institutional change can correct.</w:t>
      </w:r>
    </w:p>
    <w:p w14:paraId="76D80601" w14:textId="77777777" w:rsidR="006B188C" w:rsidRDefault="00013563">
      <w:pPr>
        <w:spacing w:before="280" w:after="100"/>
      </w:pPr>
      <w:r>
        <w:rPr>
          <w:b/>
          <w:bCs/>
          <w:smallCaps/>
          <w:color w:val="222222"/>
          <w:sz w:val="22"/>
          <w:szCs w:val="22"/>
        </w:rPr>
        <w:t>SMALL-GROUP DISCUSSION GUIDANCE</w:t>
      </w:r>
    </w:p>
    <w:p w14:paraId="586B4CEC" w14:textId="77777777" w:rsidR="006B188C" w:rsidRDefault="00013563">
      <w:pPr>
        <w:spacing w:before="200" w:after="80"/>
      </w:pPr>
      <w:r>
        <w:rPr>
          <w:b/>
          <w:bCs/>
          <w:sz w:val="24"/>
          <w:szCs w:val="24"/>
        </w:rPr>
        <w:t>Applying the Drivers to a Contemporary Problem</w:t>
      </w:r>
    </w:p>
    <w:p w14:paraId="2772DD9E" w14:textId="77777777" w:rsidR="006B188C" w:rsidRDefault="00013563">
      <w:pPr>
        <w:spacing w:after="200"/>
      </w:pPr>
      <w:r>
        <w:rPr>
          <w:i/>
          <w:iCs/>
          <w:sz w:val="24"/>
          <w:szCs w:val="24"/>
        </w:rPr>
        <w:t>Discussion scenario: Select a contemporary public health problem where economic interests are blocking action despite strong evidence—unhealthy food, tobacco, pharmaceutical pricing, fossil fuels and air pollution. Apply the Cassandra curse drivers: which are most active? What would it take to overcome each one?</w:t>
      </w:r>
    </w:p>
    <w:p w14:paraId="7CACAEBE" w14:textId="77777777" w:rsidR="006B188C" w:rsidRDefault="00013563">
      <w:pPr>
        <w:spacing w:after="160"/>
      </w:pPr>
      <w:r>
        <w:rPr>
          <w:sz w:val="24"/>
          <w:szCs w:val="24"/>
        </w:rPr>
        <w:t>For each problem: push students past ‘economic interests are blocking it’ toward the specific mechanism. Is it funding of research? Lobbying of regulators? Normalization through marketing? Each mechanism has a different mitigation. A case where industry funds the research that evaluates its product requires conflict-of-interest disclosure; a case where industry normalizes harm requires reframing and denormalization campaigns.</w:t>
      </w:r>
    </w:p>
    <w:p w14:paraId="07B89FA5" w14:textId="77777777" w:rsidR="006B188C" w:rsidRDefault="00013563">
      <w:pPr>
        <w:spacing w:after="160"/>
      </w:pPr>
      <w:r>
        <w:rPr>
          <w:sz w:val="24"/>
          <w:szCs w:val="24"/>
        </w:rPr>
        <w:t>Encourage students to identify the institutional gap that allowed the economic interests to prevail—and the institutional change that would close it. This is the lesson from Hamilton: the evidence eventually won not because it got stronger but because the institutions got stronger.</w:t>
      </w:r>
    </w:p>
    <w:p w14:paraId="50D130B7" w14:textId="77777777" w:rsidR="006B188C" w:rsidRDefault="00013563">
      <w:pPr>
        <w:spacing w:before="200" w:after="80"/>
      </w:pPr>
      <w:r>
        <w:rPr>
          <w:b/>
          <w:bCs/>
          <w:sz w:val="24"/>
          <w:szCs w:val="24"/>
        </w:rPr>
        <w:t>The Invisible Infrastructure of Economic Interests</w:t>
      </w:r>
    </w:p>
    <w:p w14:paraId="0446CA08" w14:textId="77777777" w:rsidR="006B188C" w:rsidRDefault="00013563">
      <w:pPr>
        <w:spacing w:after="200"/>
      </w:pPr>
      <w:r>
        <w:rPr>
          <w:i/>
          <w:iCs/>
          <w:sz w:val="24"/>
          <w:szCs w:val="24"/>
        </w:rPr>
        <w:t>Discussion scenario: The gasoline industry funded public health officials who would evaluate its product without disclosing those relationships. Design a disclosure system that would have made those interests visible. What specific information should be required, who should collect it, and how should it be enforced?</w:t>
      </w:r>
    </w:p>
    <w:p w14:paraId="2AC13773" w14:textId="77777777" w:rsidR="006B188C" w:rsidRDefault="00013563">
      <w:pPr>
        <w:spacing w:after="160"/>
      </w:pPr>
      <w:r>
        <w:rPr>
          <w:sz w:val="24"/>
          <w:szCs w:val="24"/>
        </w:rPr>
        <w:t>This question is deliberately applied and institutional. Push students toward concrete design, not principles in the abstract. What triggers disclosure? Who has standing to enforce it? What penalties make non-disclosure costly? How do you prevent the disclosure system from being captured by the interests it regulates?</w:t>
      </w:r>
    </w:p>
    <w:p w14:paraId="51790680" w14:textId="77777777" w:rsidR="006B188C" w:rsidRDefault="00013563">
      <w:pPr>
        <w:spacing w:after="160"/>
      </w:pPr>
      <w:r>
        <w:rPr>
          <w:sz w:val="24"/>
          <w:szCs w:val="24"/>
        </w:rPr>
        <w:t>The goal is to help students see that ‘economic interests operate invisibly’ is not a permanent fact—it is a design failure that can be corrected by institutional changes. Hamilton lacked those institutions. Contemporary public health practitioners can build them.</w:t>
      </w:r>
    </w:p>
    <w:p w14:paraId="2AFB4088" w14:textId="77777777" w:rsidR="006B188C" w:rsidRDefault="00013563">
      <w:pPr>
        <w:spacing w:before="240"/>
      </w:pPr>
      <w:r>
        <w:br w:type="page"/>
      </w:r>
    </w:p>
    <w:p w14:paraId="03E767B1" w14:textId="77777777" w:rsidR="006B188C" w:rsidRDefault="00013563">
      <w:pPr>
        <w:spacing w:before="280" w:after="100"/>
      </w:pPr>
      <w:r>
        <w:rPr>
          <w:b/>
          <w:bCs/>
          <w:smallCaps/>
          <w:color w:val="222222"/>
          <w:sz w:val="22"/>
          <w:szCs w:val="22"/>
        </w:rPr>
        <w:t>POST-CLASS SYNTHESIS</w:t>
      </w:r>
    </w:p>
    <w:p w14:paraId="0DC8DEE1" w14:textId="2C0C3FAD" w:rsidR="00A87B31" w:rsidRDefault="00013563" w:rsidP="000067C6">
      <w:pPr>
        <w:spacing w:after="200"/>
        <w:rPr>
          <w:i/>
          <w:iCs/>
          <w:sz w:val="24"/>
          <w:szCs w:val="24"/>
        </w:rPr>
      </w:pPr>
      <w:r>
        <w:rPr>
          <w:i/>
          <w:iCs/>
          <w:sz w:val="24"/>
          <w:szCs w:val="24"/>
        </w:rPr>
        <w:t>Distribute to students after the session.</w:t>
      </w:r>
    </w:p>
    <w:p w14:paraId="442E7756" w14:textId="77777777" w:rsidR="00A87B31" w:rsidRDefault="00A87B31">
      <w:pPr>
        <w:rPr>
          <w:i/>
          <w:iCs/>
          <w:sz w:val="24"/>
          <w:szCs w:val="24"/>
        </w:rPr>
      </w:pPr>
      <w:r>
        <w:rPr>
          <w:i/>
          <w:iCs/>
          <w:sz w:val="24"/>
          <w:szCs w:val="24"/>
        </w:rPr>
        <w:br w:type="page"/>
      </w:r>
    </w:p>
    <w:p w14:paraId="74F4D8D0" w14:textId="77777777" w:rsidR="006B188C" w:rsidRDefault="006B188C" w:rsidP="000067C6">
      <w:pPr>
        <w:spacing w:after="200"/>
        <w:rPr>
          <w:i/>
          <w:iCs/>
          <w:sz w:val="24"/>
          <w:szCs w:val="24"/>
        </w:rPr>
      </w:pPr>
    </w:p>
    <w:p w14:paraId="6E1B16E8" w14:textId="77777777" w:rsidR="006B188C" w:rsidRDefault="006B188C">
      <w:pPr>
        <w:spacing w:after="200"/>
      </w:pPr>
    </w:p>
    <w:p w14:paraId="204AB2D3" w14:textId="77777777" w:rsidR="006B188C" w:rsidRDefault="00013563">
      <w:pPr>
        <w:spacing w:before="100" w:after="100"/>
      </w:pPr>
      <w:r>
        <w:rPr>
          <w:b/>
          <w:bCs/>
          <w:sz w:val="28"/>
          <w:szCs w:val="28"/>
        </w:rPr>
        <w:t>Lessons from Alice Hamilton and the Cassandra Curse</w:t>
      </w:r>
    </w:p>
    <w:p w14:paraId="6CBB1BBF" w14:textId="77777777" w:rsidR="006B188C" w:rsidRDefault="006B188C">
      <w:pPr>
        <w:pBdr>
          <w:bottom w:val="single" w:sz="4" w:space="0" w:color="008B8B"/>
        </w:pBdr>
      </w:pPr>
    </w:p>
    <w:p w14:paraId="61245915" w14:textId="77777777" w:rsidR="006B188C" w:rsidRDefault="006B188C">
      <w:pPr>
        <w:spacing w:before="160"/>
      </w:pPr>
    </w:p>
    <w:p w14:paraId="4A7A6DA5" w14:textId="77777777" w:rsidR="006B188C" w:rsidRDefault="00013563">
      <w:pPr>
        <w:spacing w:before="80" w:after="80"/>
        <w:ind w:left="360" w:hanging="360"/>
      </w:pPr>
      <w:r>
        <w:rPr>
          <w:sz w:val="24"/>
          <w:szCs w:val="24"/>
        </w:rPr>
        <w:t>• </w:t>
      </w:r>
      <w:r>
        <w:rPr>
          <w:b/>
          <w:bCs/>
          <w:sz w:val="24"/>
          <w:szCs w:val="24"/>
        </w:rPr>
        <w:t>Evidence is necessary but not sufficient.</w:t>
      </w:r>
      <w:r>
        <w:rPr>
          <w:sz w:val="24"/>
          <w:szCs w:val="24"/>
        </w:rPr>
        <w:t xml:space="preserve"> Hamilton’s evidence was ironclad, never seriously disputed on scientific grounds, and ultimately vindicated by history. It still took seventy years to produce the policy change she sought. The gap between evidence and policy is not random—it is produced by specific mechanisms, each of which has a known mitigation. The first diagnostic question when evidence fails to produce action is: which mechanism is operating?</w:t>
      </w:r>
    </w:p>
    <w:p w14:paraId="55CD25D0" w14:textId="77777777" w:rsidR="006B188C" w:rsidRDefault="00013563">
      <w:pPr>
        <w:spacing w:before="80" w:after="80"/>
        <w:ind w:left="360" w:hanging="360"/>
      </w:pPr>
      <w:r>
        <w:rPr>
          <w:sz w:val="24"/>
          <w:szCs w:val="24"/>
        </w:rPr>
        <w:t>• </w:t>
      </w:r>
      <w:r>
        <w:rPr>
          <w:b/>
          <w:bCs/>
          <w:sz w:val="24"/>
          <w:szCs w:val="24"/>
        </w:rPr>
        <w:t>Economic interests are often the most powerful and most invisible Cassandra curse driver—but not always.</w:t>
      </w:r>
      <w:r>
        <w:rPr>
          <w:sz w:val="24"/>
          <w:szCs w:val="24"/>
        </w:rPr>
        <w:t xml:space="preserve"> In other cases, social norms, hyperbolic discounting, or the myth of free will may be equally or more important. The first diagnostic question is always: which drivers are actually operating in this specific case? When economic interests are the driver, they defeat evidence not by producing better evidence but by shaping the institutions that evaluate it. The mitigation is institutional: disclosure requirements, independent evaluation bodies, and regulatory structures insulated from the interests they regulate.</w:t>
      </w:r>
    </w:p>
    <w:p w14:paraId="3A30725B" w14:textId="77777777" w:rsidR="006B188C" w:rsidRDefault="00013563">
      <w:pPr>
        <w:spacing w:before="80" w:after="80"/>
        <w:ind w:left="360" w:hanging="360"/>
      </w:pPr>
      <w:r>
        <w:rPr>
          <w:sz w:val="24"/>
          <w:szCs w:val="24"/>
        </w:rPr>
        <w:t>• </w:t>
      </w:r>
      <w:r>
        <w:rPr>
          <w:b/>
          <w:bCs/>
          <w:sz w:val="24"/>
          <w:szCs w:val="24"/>
        </w:rPr>
        <w:t>The prevention paradox has an important political implication: diffuse benefits and concentrated costs.</w:t>
      </w:r>
      <w:r>
        <w:rPr>
          <w:sz w:val="24"/>
          <w:szCs w:val="24"/>
        </w:rPr>
        <w:t xml:space="preserve"> The winners in Hamilton’s case—tens of millions of children with protected cognitive development—had no voice, no organization, and no way to make their interest visible. The losers—the lead additive industry—were organized, funded, and politically connected. Overcoming this asymmetry requires organizing the winners: giving diffuse benefits a face, a voice, and an organization. That work is as important as building the scientific case.</w:t>
      </w:r>
    </w:p>
    <w:p w14:paraId="6F9FE612" w14:textId="77777777" w:rsidR="006B188C" w:rsidRDefault="00013563">
      <w:pPr>
        <w:spacing w:before="80" w:after="80"/>
        <w:ind w:left="360" w:hanging="360"/>
      </w:pPr>
      <w:r>
        <w:rPr>
          <w:sz w:val="24"/>
          <w:szCs w:val="24"/>
        </w:rPr>
        <w:t>• </w:t>
      </w:r>
      <w:r>
        <w:rPr>
          <w:b/>
          <w:bCs/>
          <w:sz w:val="24"/>
          <w:szCs w:val="24"/>
        </w:rPr>
        <w:t>Social norms that normalize harm are a form of political power.</w:t>
      </w:r>
      <w:r>
        <w:rPr>
          <w:sz w:val="24"/>
          <w:szCs w:val="24"/>
        </w:rPr>
        <w:t xml:space="preserve"> Industrial risk was treated as an inherent cost of production in Hamilton’s era, not as a preventable harm for which the state bears responsibility. Changing that norm—reframing occupational disease as a regulatory failure, not an industrial inevitability—was one of Hamilton’s lasting contributions. The norm did change. Worker protection laws passed. But the normalization of environmental lead exposure persisted, protected by the same economic interests, for additional decades.</w:t>
      </w:r>
    </w:p>
    <w:p w14:paraId="644A38A6" w14:textId="77777777" w:rsidR="006B188C" w:rsidRDefault="00013563">
      <w:pPr>
        <w:spacing w:before="80" w:after="80"/>
        <w:ind w:left="360" w:hanging="360"/>
      </w:pPr>
      <w:r>
        <w:rPr>
          <w:sz w:val="24"/>
          <w:szCs w:val="24"/>
        </w:rPr>
        <w:t>• </w:t>
      </w:r>
      <w:r>
        <w:rPr>
          <w:b/>
          <w:bCs/>
          <w:sz w:val="24"/>
          <w:szCs w:val="24"/>
        </w:rPr>
        <w:t>Institutions matter as much as evidence.</w:t>
      </w:r>
      <w:r>
        <w:rPr>
          <w:sz w:val="24"/>
          <w:szCs w:val="24"/>
        </w:rPr>
        <w:t xml:space="preserve"> The EPA did not exist when Hamilton testified. Environmental advocacy organizations with legal standing did not exist. Conflict-of-interest disclosure was not yet a regulatory norm. The lead phaseout became possible not because the evidence improved—it had always been strong—but because the institutional conditions changed. Building those institutions is a public health intervention, as consequential as any clinical or behavioral one.</w:t>
      </w:r>
    </w:p>
    <w:sectPr w:rsidR="006B188C">
      <w:footerReference w:type="default" r:id="rId11"/>
      <w:pgSz w:w="12240" w:h="15840"/>
      <w:pgMar w:top="720" w:right="1080" w:bottom="72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9344" w14:textId="77777777" w:rsidR="0002253F" w:rsidRDefault="0002253F">
      <w:r>
        <w:separator/>
      </w:r>
    </w:p>
  </w:endnote>
  <w:endnote w:type="continuationSeparator" w:id="0">
    <w:p w14:paraId="1A4CAC22" w14:textId="77777777" w:rsidR="0002253F" w:rsidRDefault="0002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8CAD49BC-840C-478C-A062-A68DDF21C13F}"/>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D59F" w14:textId="0CE02BBB" w:rsidR="006B188C" w:rsidRDefault="00013563">
    <w:pPr>
      <w:jc w:val="center"/>
    </w:pPr>
    <w:r>
      <w:rPr>
        <w:color w:val="888888"/>
        <w:sz w:val="18"/>
        <w:szCs w:val="18"/>
      </w:rPr>
      <w:t xml:space="preserve">The Formula for Better Health  ·  MIT Press, 2025  ·  </w:t>
    </w:r>
    <w:r w:rsidR="000067C6">
      <w:rPr>
        <w:color w:val="888888"/>
        <w:sz w:val="18"/>
        <w:szCs w:val="18"/>
      </w:rPr>
      <w:t>theformulaforbetterhealth.net/</w:t>
    </w:r>
    <w:r w:rsidR="000067C6">
      <w:rPr>
        <w:color w:val="888888"/>
        <w:sz w:val="18"/>
        <w:szCs w:val="18"/>
      </w:rPr>
      <w:t>formulateaching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2A24" w14:textId="77777777" w:rsidR="0002253F" w:rsidRDefault="0002253F">
      <w:r>
        <w:separator/>
      </w:r>
    </w:p>
  </w:footnote>
  <w:footnote w:type="continuationSeparator" w:id="0">
    <w:p w14:paraId="13B54ACD" w14:textId="77777777" w:rsidR="0002253F" w:rsidRDefault="00022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88C"/>
    <w:rsid w:val="000067C6"/>
    <w:rsid w:val="00013563"/>
    <w:rsid w:val="0002253F"/>
    <w:rsid w:val="00167576"/>
    <w:rsid w:val="006B188C"/>
    <w:rsid w:val="007715BE"/>
    <w:rsid w:val="007D3C9C"/>
    <w:rsid w:val="00957C8C"/>
    <w:rsid w:val="00A87B31"/>
    <w:rsid w:val="00B466FB"/>
    <w:rsid w:val="00CE0FF4"/>
    <w:rsid w:val="00D12EA8"/>
    <w:rsid w:val="00E3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A5C112"/>
  <w15:docId w15:val="{2FF4B0CF-1B64-4033-A27B-EBEE8E1F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2E74B5"/>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2E74B5"/>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1F4D78"/>
      <w:sz w:val="24"/>
      <w:szCs w:val="24"/>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iCs/>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pPr>
    <w:rPr>
      <w:color w:val="00000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styleId="Header">
    <w:name w:val="header"/>
    <w:basedOn w:val="Normal"/>
    <w:link w:val="HeaderChar"/>
    <w:uiPriority w:val="99"/>
    <w:unhideWhenUsed/>
    <w:rsid w:val="000067C6"/>
    <w:pPr>
      <w:tabs>
        <w:tab w:val="center" w:pos="4680"/>
        <w:tab w:val="right" w:pos="9360"/>
      </w:tabs>
    </w:pPr>
  </w:style>
  <w:style w:type="character" w:customStyle="1" w:styleId="HeaderChar">
    <w:name w:val="Header Char"/>
    <w:basedOn w:val="DefaultParagraphFont"/>
    <w:link w:val="Header"/>
    <w:uiPriority w:val="99"/>
    <w:rsid w:val="000067C6"/>
  </w:style>
  <w:style w:type="paragraph" w:styleId="Footer">
    <w:name w:val="footer"/>
    <w:basedOn w:val="Normal"/>
    <w:link w:val="FooterChar"/>
    <w:uiPriority w:val="99"/>
    <w:unhideWhenUsed/>
    <w:rsid w:val="000067C6"/>
    <w:pPr>
      <w:tabs>
        <w:tab w:val="center" w:pos="4680"/>
        <w:tab w:val="right" w:pos="9360"/>
      </w:tabs>
    </w:pPr>
  </w:style>
  <w:style w:type="character" w:customStyle="1" w:styleId="FooterChar">
    <w:name w:val="Footer Char"/>
    <w:basedOn w:val="DefaultParagraphFont"/>
    <w:link w:val="Footer"/>
    <w:uiPriority w:val="99"/>
    <w:rsid w:val="00006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D090zfEO+Ckj3RCq2/qG9i0BDg==">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B3471A-C0DF-45B0-9B54-6DABA96A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c834-5500-4d34-8d4a-2e90563177f5"/>
    <ds:schemaRef ds:uri="8cc82467-8cb5-4206-ba7c-5e39ccab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45989-659F-4C17-95D5-A540848F5A0C}">
  <ds:schemaRefs>
    <ds:schemaRef ds:uri="http://schemas.microsoft.com/office/2006/metadata/properties"/>
    <ds:schemaRef ds:uri="http://schemas.microsoft.com/office/infopath/2007/PartnerControls"/>
    <ds:schemaRef ds:uri="89c6c834-5500-4d34-8d4a-2e90563177f5"/>
  </ds:schemaRefs>
</ds:datastoreItem>
</file>

<file path=customXml/itemProps4.xml><?xml version="1.0" encoding="utf-8"?>
<ds:datastoreItem xmlns:ds="http://schemas.openxmlformats.org/officeDocument/2006/customXml" ds:itemID="{45DD659B-1FEB-4910-BD1F-F232B0523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1915</Words>
  <Characters>10916</Characters>
  <Application>Microsoft Office Word</Application>
  <DocSecurity>4</DocSecurity>
  <Lines>90</Lines>
  <Paragraphs>25</Paragraphs>
  <ScaleCrop>false</ScaleCrop>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Cecilia Crews</cp:lastModifiedBy>
  <cp:revision>5</cp:revision>
  <dcterms:created xsi:type="dcterms:W3CDTF">2026-03-16T20:25:00Z</dcterms:created>
  <dcterms:modified xsi:type="dcterms:W3CDTF">2026-03-16T20:58:00Z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2026-03-08T12:11:29Z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9b204c9f-0339-4583-94c1-b63c071a8886</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y fmtid="{D5CDD505-2E9C-101B-9397-08002B2CF9AE}" pid="11" name="MediaServiceImageTags">
    <vt:lpwstr/>
  </property>
</Properties>
</file>