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00"/>
        <w:gridCol w:w="2860"/>
      </w:tblGrid>
      <w:tr w:rsidR="003379EA" w14:paraId="077E5370" w14:textId="77777777">
        <w:tc>
          <w:tcPr>
            <w:tcW w:w="6500" w:type="dxa"/>
            <w:tcBorders>
              <w:top w:val="none" w:sz="0" w:space="0" w:color="FFFFFF"/>
              <w:left w:val="none" w:sz="0" w:space="0" w:color="FFFFFF"/>
              <w:bottom w:val="none" w:sz="0" w:space="0" w:color="FFFFFF"/>
              <w:right w:val="none" w:sz="0" w:space="0" w:color="FFFFFF"/>
            </w:tcBorders>
            <w:shd w:val="clear" w:color="auto" w:fill="008B8B"/>
            <w:tcMar>
              <w:top w:w="80" w:type="dxa"/>
              <w:left w:w="160" w:type="dxa"/>
              <w:bottom w:w="80" w:type="dxa"/>
              <w:right w:w="80" w:type="dxa"/>
            </w:tcMar>
          </w:tcPr>
          <w:p w14:paraId="6F6DF2F3" w14:textId="77777777" w:rsidR="003379EA" w:rsidRDefault="00BA0180">
            <w:r>
              <w:rPr>
                <w:rFonts w:ascii="Arial" w:eastAsia="Arial" w:hAnsi="Arial" w:cs="Arial"/>
                <w:b/>
                <w:bCs/>
                <w:color w:val="FFFFFF"/>
                <w:sz w:val="16"/>
                <w:szCs w:val="16"/>
              </w:rPr>
              <w:t>THE FORMULA FOR BETTER HEALTH  ·  CASE STUDY: COMMUNICATE</w:t>
            </w:r>
          </w:p>
        </w:tc>
        <w:tc>
          <w:tcPr>
            <w:tcW w:w="2860" w:type="dxa"/>
            <w:tcBorders>
              <w:top w:val="none" w:sz="0" w:space="0" w:color="FFFFFF"/>
              <w:left w:val="none" w:sz="0" w:space="0" w:color="FFFFFF"/>
              <w:bottom w:val="none" w:sz="0" w:space="0" w:color="FFFFFF"/>
              <w:right w:val="none" w:sz="0" w:space="0" w:color="FFFFFF"/>
            </w:tcBorders>
            <w:shd w:val="clear" w:color="auto" w:fill="CCCCCC"/>
            <w:tcMar>
              <w:top w:w="80" w:type="dxa"/>
              <w:left w:w="80" w:type="dxa"/>
              <w:bottom w:w="80" w:type="dxa"/>
              <w:right w:w="160" w:type="dxa"/>
            </w:tcMar>
            <w:vAlign w:val="center"/>
          </w:tcPr>
          <w:p w14:paraId="680E4BC9" w14:textId="77777777" w:rsidR="003379EA" w:rsidRDefault="00BA0180">
            <w:pPr>
              <w:jc w:val="center"/>
            </w:pPr>
            <w:r>
              <w:rPr>
                <w:rFonts w:ascii="Arial" w:eastAsia="Arial" w:hAnsi="Arial" w:cs="Arial"/>
                <w:b/>
                <w:bCs/>
                <w:color w:val="444444"/>
                <w:sz w:val="16"/>
                <w:szCs w:val="16"/>
              </w:rPr>
              <w:t>STUDENT HANDOUT</w:t>
            </w:r>
          </w:p>
        </w:tc>
      </w:tr>
    </w:tbl>
    <w:p w14:paraId="14539501" w14:textId="77777777" w:rsidR="003379EA" w:rsidRDefault="00BA0180">
      <w:pPr>
        <w:spacing w:before="200" w:after="60"/>
      </w:pPr>
      <w:r>
        <w:rPr>
          <w:b/>
          <w:bCs/>
          <w:sz w:val="36"/>
          <w:szCs w:val="36"/>
        </w:rPr>
        <w:t>Ebola in Guinea: Communication as a Public Health Intervention</w:t>
      </w:r>
    </w:p>
    <w:p w14:paraId="65880C5F" w14:textId="77777777" w:rsidR="003379EA" w:rsidRDefault="003379EA">
      <w:pPr>
        <w:pBdr>
          <w:bottom w:val="single" w:sz="4" w:space="0" w:color="008B8B"/>
        </w:pBdr>
      </w:pPr>
    </w:p>
    <w:p w14:paraId="2F4F7D84" w14:textId="77777777" w:rsidR="003379EA" w:rsidRDefault="00BA0180">
      <w:pPr>
        <w:spacing w:before="240" w:after="80"/>
      </w:pPr>
      <w:r>
        <w:rPr>
          <w:b/>
          <w:bCs/>
          <w:caps/>
          <w:color w:val="444444"/>
        </w:rPr>
        <w:t>Required Reading</w:t>
      </w:r>
    </w:p>
    <w:p w14:paraId="178F051A" w14:textId="77777777" w:rsidR="003379EA" w:rsidRDefault="00BA0180">
      <w:pPr>
        <w:spacing w:after="160"/>
      </w:pPr>
      <w:r>
        <w:rPr>
          <w:sz w:val="24"/>
          <w:szCs w:val="24"/>
        </w:rPr>
        <w:t xml:space="preserve">Frieden, Thomas R. </w:t>
      </w:r>
      <w:r>
        <w:rPr>
          <w:i/>
          <w:iCs/>
          <w:sz w:val="24"/>
          <w:szCs w:val="24"/>
        </w:rPr>
        <w:t>The Formula for Better Health.</w:t>
      </w:r>
      <w:r>
        <w:rPr>
          <w:sz w:val="24"/>
          <w:szCs w:val="24"/>
        </w:rPr>
        <w:t xml:space="preserve"> MIT Press, 2025.</w:t>
      </w:r>
    </w:p>
    <w:p w14:paraId="64C3693F" w14:textId="77777777" w:rsidR="003379EA" w:rsidRDefault="00BA0180">
      <w:pPr>
        <w:spacing w:after="80"/>
      </w:pPr>
      <w:r>
        <w:rPr>
          <w:sz w:val="24"/>
          <w:szCs w:val="24"/>
        </w:rPr>
        <w:t>Chapter 7: Communication (full chapter)</w:t>
      </w:r>
    </w:p>
    <w:p w14:paraId="37A97592" w14:textId="77777777" w:rsidR="003379EA" w:rsidRDefault="00BA0180">
      <w:pPr>
        <w:spacing w:after="120"/>
      </w:pPr>
      <w:r>
        <w:rPr>
          <w:sz w:val="24"/>
          <w:szCs w:val="24"/>
        </w:rPr>
        <w:t>Chapter 1: See the Invisible (Ebola section, pages 6–8)</w:t>
      </w:r>
    </w:p>
    <w:p w14:paraId="7B103A27" w14:textId="77777777" w:rsidR="003379EA" w:rsidRDefault="00BA0180">
      <w:pPr>
        <w:spacing w:after="80"/>
      </w:pPr>
      <w:r>
        <w:rPr>
          <w:i/>
          <w:iCs/>
          <w:sz w:val="24"/>
          <w:szCs w:val="24"/>
        </w:rPr>
        <w:t>Optional</w:t>
      </w:r>
    </w:p>
    <w:p w14:paraId="3893DB63" w14:textId="77777777" w:rsidR="003379EA" w:rsidRDefault="00BA0180">
      <w:pPr>
        <w:spacing w:after="120"/>
      </w:pPr>
      <w:r>
        <w:rPr>
          <w:sz w:val="24"/>
          <w:szCs w:val="24"/>
        </w:rPr>
        <w:t>Chapter 8: Progress Despite Opposition (for context on mandates and enforcement)</w:t>
      </w:r>
    </w:p>
    <w:p w14:paraId="1B542A20" w14:textId="77777777" w:rsidR="003379EA" w:rsidRDefault="00BA0180">
      <w:pPr>
        <w:spacing w:before="240" w:after="80"/>
      </w:pPr>
      <w:r>
        <w:rPr>
          <w:b/>
          <w:bCs/>
          <w:caps/>
          <w:color w:val="444444"/>
        </w:rPr>
        <w:t>Preparation Question</w:t>
      </w:r>
    </w:p>
    <w:p w14:paraId="06E0DA35" w14:textId="77777777" w:rsidR="003379EA" w:rsidRDefault="00BA0180">
      <w:pPr>
        <w:spacing w:after="200"/>
      </w:pPr>
      <w:r>
        <w:rPr>
          <w:sz w:val="24"/>
          <w:szCs w:val="24"/>
        </w:rPr>
        <w:t>Before class, write two to three sentences in response to: Early Ebola messages in Guinea were factually accurate—“don’t eat bushmeat” and “Ebola cannot be cured.” Both made the epidemic worse. Why? What did the replacement message, “Ebola is real,” do differently?</w:t>
      </w:r>
    </w:p>
    <w:p w14:paraId="7B1FC8CA" w14:textId="77777777" w:rsidR="003379EA" w:rsidRDefault="003379EA">
      <w:pPr>
        <w:pBdr>
          <w:bottom w:val="single" w:sz="4" w:space="0" w:color="008B8B"/>
        </w:pBdr>
      </w:pPr>
    </w:p>
    <w:p w14:paraId="0D66EDAA" w14:textId="77777777" w:rsidR="003379EA" w:rsidRDefault="00BA0180">
      <w:pPr>
        <w:spacing w:before="200" w:after="80"/>
      </w:pPr>
      <w:r>
        <w:rPr>
          <w:b/>
          <w:bCs/>
          <w:sz w:val="28"/>
          <w:szCs w:val="28"/>
        </w:rPr>
        <w:t>The Case</w:t>
      </w:r>
    </w:p>
    <w:p w14:paraId="40B84509" w14:textId="523ABE51" w:rsidR="003379EA" w:rsidRDefault="00BA0180">
      <w:pPr>
        <w:spacing w:after="160"/>
      </w:pPr>
      <w:r>
        <w:rPr>
          <w:sz w:val="24"/>
          <w:szCs w:val="24"/>
        </w:rPr>
        <w:t>In 2014, Ebola spread through Guinea’s rural villages and into its capital, Conakry. Roughly half of all patients died. Traditional burial practices—washing, dressing, and holding the body—drove transmission. Stopping the epidemic required community cooperation: families had to report illness, name contacts, and change burial customs that had deep cultural meaning. The</w:t>
      </w:r>
      <w:r w:rsidR="00803519">
        <w:rPr>
          <w:sz w:val="24"/>
          <w:szCs w:val="24"/>
        </w:rPr>
        <w:t xml:space="preserve"> biggest challenge</w:t>
      </w:r>
      <w:r>
        <w:rPr>
          <w:sz w:val="24"/>
          <w:szCs w:val="24"/>
        </w:rPr>
        <w:t xml:space="preserve"> was not the virus alone. It was trust.</w:t>
      </w:r>
    </w:p>
    <w:p w14:paraId="783D3F89" w14:textId="77777777" w:rsidR="003379EA" w:rsidRDefault="00BA0180">
      <w:pPr>
        <w:spacing w:after="160"/>
      </w:pPr>
      <w:r>
        <w:rPr>
          <w:sz w:val="24"/>
          <w:szCs w:val="24"/>
        </w:rPr>
        <w:t>CDC teams had been in Guinea for eighteen months. They had focused, appropriately, on infection control, contact tracing, and stopping transmission. What they had not done was treat patients. Communities noticed. Dr. Abdou Salam Gueye, a Senegalese epidemiologist with deep regional knowledge who CDC deployed to Guinea, reported what people in communities were saying: “You say you’re doctors, but you’ve been here for eighteen months and you haven’t treated a single patient.”</w:t>
      </w:r>
    </w:p>
    <w:p w14:paraId="367D33A6" w14:textId="77777777" w:rsidR="003379EA" w:rsidRDefault="00BA0180">
      <w:pPr>
        <w:spacing w:before="160" w:after="80"/>
      </w:pPr>
      <w:r>
        <w:rPr>
          <w:b/>
          <w:bCs/>
          <w:sz w:val="24"/>
          <w:szCs w:val="24"/>
        </w:rPr>
        <w:t>Messages That Were Accurate—and Counterproductive</w:t>
      </w:r>
    </w:p>
    <w:p w14:paraId="7C3345F0" w14:textId="77777777" w:rsidR="003379EA" w:rsidRDefault="00BA0180">
      <w:pPr>
        <w:spacing w:after="160"/>
      </w:pPr>
      <w:r>
        <w:rPr>
          <w:sz w:val="24"/>
          <w:szCs w:val="24"/>
        </w:rPr>
        <w:t>The early public health messages were factually correct. “Don’t eat bushmeat” was true at the epidemic’s origin. But by the time the message circulated widely, person-to-person transmission was the primary route—bushmeat was irrelevant. Communities heard blame, not guidance.</w:t>
      </w:r>
    </w:p>
    <w:p w14:paraId="560EF1D6" w14:textId="2D78F5AC" w:rsidR="003379EA" w:rsidRDefault="00BA0180">
      <w:pPr>
        <w:spacing w:after="160"/>
      </w:pPr>
      <w:r>
        <w:rPr>
          <w:sz w:val="24"/>
          <w:szCs w:val="24"/>
        </w:rPr>
        <w:t>“Ebola cannot be cured” was also true. It also</w:t>
      </w:r>
      <w:r w:rsidR="00803519">
        <w:rPr>
          <w:sz w:val="24"/>
          <w:szCs w:val="24"/>
        </w:rPr>
        <w:t xml:space="preserve"> undermined</w:t>
      </w:r>
      <w:r>
        <w:rPr>
          <w:sz w:val="24"/>
          <w:szCs w:val="24"/>
        </w:rPr>
        <w:t xml:space="preserve"> cooperation. If nothing can be done, why report a sick family member to authorities who cannot help? The message eliminated the rational basis for engaging with the response.</w:t>
      </w:r>
    </w:p>
    <w:p w14:paraId="16607CEE" w14:textId="289C7F3D" w:rsidR="003379EA" w:rsidRDefault="00BA0180">
      <w:pPr>
        <w:spacing w:after="160"/>
      </w:pPr>
      <w:r>
        <w:rPr>
          <w:sz w:val="24"/>
          <w:szCs w:val="24"/>
        </w:rPr>
        <w:t>Both messages met the standard of accuracy. Neither met the standard that matters in a crisis: did the message produce the right behavior?</w:t>
      </w:r>
    </w:p>
    <w:p w14:paraId="0EA5764E" w14:textId="77777777" w:rsidR="003379EA" w:rsidRDefault="00BA0180">
      <w:pPr>
        <w:spacing w:before="160" w:after="80"/>
      </w:pPr>
      <w:r>
        <w:rPr>
          <w:b/>
          <w:bCs/>
          <w:sz w:val="24"/>
          <w:szCs w:val="24"/>
        </w:rPr>
        <w:t>The Correction: “Ebola Is Real”</w:t>
      </w:r>
    </w:p>
    <w:p w14:paraId="7CB83884" w14:textId="712CF84B" w:rsidR="003379EA" w:rsidRDefault="00BA0180">
      <w:pPr>
        <w:spacing w:after="160"/>
        <w:rPr>
          <w:sz w:val="24"/>
          <w:szCs w:val="24"/>
        </w:rPr>
      </w:pPr>
      <w:r>
        <w:rPr>
          <w:sz w:val="24"/>
          <w:szCs w:val="24"/>
        </w:rPr>
        <w:t>The replacement message was three words: “Ebola is real.” It was simple. It was true. And it opened a door: Ebola is real, and here is what we can do.</w:t>
      </w:r>
    </w:p>
    <w:p w14:paraId="5CB3EEC3" w14:textId="55EDDF1E" w:rsidR="00175792" w:rsidRDefault="00175792" w:rsidP="00175792">
      <w:pPr>
        <w:tabs>
          <w:tab w:val="left" w:pos="7587"/>
        </w:tabs>
        <w:rPr>
          <w:sz w:val="24"/>
          <w:szCs w:val="24"/>
        </w:rPr>
      </w:pPr>
      <w:r>
        <w:rPr>
          <w:sz w:val="24"/>
          <w:szCs w:val="24"/>
        </w:rPr>
        <w:tab/>
      </w:r>
    </w:p>
    <w:p w14:paraId="6A8A47B5" w14:textId="77777777" w:rsidR="00175792" w:rsidRPr="00175792" w:rsidRDefault="00175792" w:rsidP="00175792"/>
    <w:p w14:paraId="425D2A45" w14:textId="77777777" w:rsidR="003379EA" w:rsidRDefault="00BA0180">
      <w:pPr>
        <w:spacing w:after="160"/>
      </w:pPr>
      <w:r>
        <w:rPr>
          <w:sz w:val="24"/>
          <w:szCs w:val="24"/>
        </w:rPr>
        <w:lastRenderedPageBreak/>
        <w:t>Safe and dignified burial—a practice that acknowledged community grief while changing the behavior that drove transmission—became possible only after communities accepted that the disease was real and that the response had something to offer them. The message created the conditions for cooperation that surveillance alone could not reach.</w:t>
      </w:r>
    </w:p>
    <w:p w14:paraId="0B2B7EBF" w14:textId="77777777" w:rsidR="003379EA" w:rsidRDefault="00BA0180">
      <w:pPr>
        <w:spacing w:before="160" w:after="80"/>
      </w:pPr>
      <w:r>
        <w:rPr>
          <w:b/>
          <w:bCs/>
          <w:sz w:val="24"/>
          <w:szCs w:val="24"/>
        </w:rPr>
        <w:t>The Right Messenger</w:t>
      </w:r>
    </w:p>
    <w:p w14:paraId="1EAA2B86" w14:textId="77777777" w:rsidR="003379EA" w:rsidRDefault="00BA0180">
      <w:pPr>
        <w:spacing w:after="160"/>
      </w:pPr>
      <w:r>
        <w:rPr>
          <w:sz w:val="24"/>
          <w:szCs w:val="24"/>
        </w:rPr>
        <w:t>The right message is necessary but not sufficient. The messenger determines whether the message is heard. Two examples from different settings illustrate the principle.</w:t>
      </w:r>
    </w:p>
    <w:p w14:paraId="015467C2" w14:textId="6F5C82E2" w:rsidR="003379EA" w:rsidRDefault="00BA0180">
      <w:pPr>
        <w:spacing w:after="160"/>
      </w:pPr>
      <w:r>
        <w:rPr>
          <w:sz w:val="24"/>
          <w:szCs w:val="24"/>
        </w:rPr>
        <w:t xml:space="preserve">Terrie Hall grew up in North Carolina, worked on a tobacco farm, </w:t>
      </w:r>
      <w:r w:rsidR="00803519">
        <w:rPr>
          <w:sz w:val="24"/>
          <w:szCs w:val="24"/>
        </w:rPr>
        <w:t xml:space="preserve">was a cheerleader </w:t>
      </w:r>
      <w:r>
        <w:rPr>
          <w:sz w:val="24"/>
          <w:szCs w:val="24"/>
        </w:rPr>
        <w:t xml:space="preserve">at her high school, and smoked two packs a day. At forty she developed oral and throat cancer. She volunteered to tell her story in CDC’s Tips from Former Smokers campaign—fierce and funny, credible in a way no government official could be. The day before she died, at fifty-three, she insisted on filming a final message. Her story helped tens of thousands quit. Research shows that graphic personal testimonials </w:t>
      </w:r>
      <w:r w:rsidR="00803519">
        <w:rPr>
          <w:sz w:val="24"/>
          <w:szCs w:val="24"/>
        </w:rPr>
        <w:t xml:space="preserve">showing disability and disfigurement </w:t>
      </w:r>
      <w:r>
        <w:rPr>
          <w:sz w:val="24"/>
          <w:szCs w:val="24"/>
        </w:rPr>
        <w:t>motivate cessation more effectively than statistics about death or abstract health benefits. The messenger is not a delivery mechanism. The messenger is the message.</w:t>
      </w:r>
    </w:p>
    <w:p w14:paraId="364F302C" w14:textId="2C48B12C" w:rsidR="003379EA" w:rsidRDefault="00BA0180">
      <w:pPr>
        <w:spacing w:after="160"/>
      </w:pPr>
      <w:r>
        <w:rPr>
          <w:sz w:val="24"/>
          <w:szCs w:val="24"/>
        </w:rPr>
        <w:t xml:space="preserve">Christian Nwigwe, a Nigerian-born former salesman turned TB outreach worker, faced a patient named Jorge. A physician with passable Spanish had tried—medical credentials, accurate clinical information, clear explanations of why treatment mattered. None of it worked. Nwigwe spoke no Spanish. What he did was show up, week after week, and bring lunch. After nine months, Jorge was cured. The trust Nwigwe built was </w:t>
      </w:r>
      <w:r w:rsidR="00803519">
        <w:rPr>
          <w:sz w:val="24"/>
          <w:szCs w:val="24"/>
        </w:rPr>
        <w:t>essential</w:t>
      </w:r>
      <w:r>
        <w:rPr>
          <w:sz w:val="24"/>
          <w:szCs w:val="24"/>
        </w:rPr>
        <w:t>.</w:t>
      </w:r>
    </w:p>
    <w:p w14:paraId="22B4E876" w14:textId="77777777" w:rsidR="003379EA" w:rsidRDefault="00BA0180">
      <w:pPr>
        <w:spacing w:before="160" w:after="80"/>
      </w:pPr>
      <w:r>
        <w:rPr>
          <w:b/>
          <w:bCs/>
          <w:sz w:val="24"/>
          <w:szCs w:val="24"/>
        </w:rPr>
        <w:t>The Right Audience—and the Discipline to Evolve</w:t>
      </w:r>
    </w:p>
    <w:p w14:paraId="1146AE51" w14:textId="77777777" w:rsidR="003379EA" w:rsidRDefault="00BA0180">
      <w:pPr>
        <w:spacing w:after="160"/>
      </w:pPr>
      <w:r>
        <w:rPr>
          <w:sz w:val="24"/>
          <w:szCs w:val="24"/>
        </w:rPr>
        <w:t>Community perceptions changed throughout the Guinea epidemic. Early on, the question was “Is Ebola real?” Once that was settled, it became “Will the treatment unit kill me?” Then: “Will you protect my family?” A communication strategy that does not track these shifts with the same discipline as epidemiological data will answer yesterday’s question while the epidemic moves on.</w:t>
      </w:r>
    </w:p>
    <w:p w14:paraId="3BDCDA71" w14:textId="62E2FCDF" w:rsidR="003379EA" w:rsidRDefault="00BA0180">
      <w:pPr>
        <w:spacing w:after="200"/>
      </w:pPr>
      <w:r>
        <w:rPr>
          <w:sz w:val="24"/>
          <w:szCs w:val="24"/>
        </w:rPr>
        <w:t>Communication is not support for a public health intervention. Communication is</w:t>
      </w:r>
      <w:r w:rsidR="00803519">
        <w:rPr>
          <w:sz w:val="24"/>
          <w:szCs w:val="24"/>
        </w:rPr>
        <w:t xml:space="preserve"> integral to</w:t>
      </w:r>
      <w:r>
        <w:rPr>
          <w:sz w:val="24"/>
          <w:szCs w:val="24"/>
        </w:rPr>
        <w:t xml:space="preserve"> the intervention.</w:t>
      </w:r>
    </w:p>
    <w:p w14:paraId="1E1D3A2C" w14:textId="77777777" w:rsidR="003379EA" w:rsidRDefault="003379EA">
      <w:pPr>
        <w:pBdr>
          <w:bottom w:val="single" w:sz="4" w:space="0" w:color="008B8B"/>
        </w:pBdr>
      </w:pPr>
    </w:p>
    <w:p w14:paraId="624D6268" w14:textId="77777777" w:rsidR="003379EA" w:rsidRDefault="00BA0180">
      <w:pPr>
        <w:spacing w:before="240" w:after="80"/>
      </w:pPr>
      <w:r>
        <w:rPr>
          <w:b/>
          <w:bCs/>
          <w:caps/>
          <w:color w:val="444444"/>
        </w:rPr>
        <w:t>Discussion Questions</w:t>
      </w:r>
    </w:p>
    <w:p w14:paraId="4DC50C81" w14:textId="18436B3F" w:rsidR="003379EA" w:rsidRDefault="00BA0180">
      <w:pPr>
        <w:spacing w:before="160" w:after="80"/>
      </w:pPr>
      <w:r>
        <w:rPr>
          <w:b/>
          <w:bCs/>
          <w:sz w:val="24"/>
          <w:szCs w:val="24"/>
        </w:rPr>
        <w:t xml:space="preserve">1. </w:t>
      </w:r>
      <w:r>
        <w:rPr>
          <w:sz w:val="24"/>
          <w:szCs w:val="24"/>
        </w:rPr>
        <w:t xml:space="preserve">Both early Ebola messages—“don’t eat bushmeat” and “Ebola cannot be cured”—were factually accurate. Why did they make the epidemic worse? </w:t>
      </w:r>
    </w:p>
    <w:p w14:paraId="1B7D957F" w14:textId="6D76059C" w:rsidR="003379EA" w:rsidRDefault="00BA0180">
      <w:pPr>
        <w:spacing w:before="160" w:after="80"/>
      </w:pPr>
      <w:r>
        <w:rPr>
          <w:b/>
          <w:bCs/>
          <w:sz w:val="24"/>
          <w:szCs w:val="24"/>
        </w:rPr>
        <w:t xml:space="preserve">2. </w:t>
      </w:r>
      <w:r>
        <w:rPr>
          <w:sz w:val="24"/>
          <w:szCs w:val="24"/>
        </w:rPr>
        <w:t xml:space="preserve">What principles does “Ebola is real” illustrate that the earlier messages violated? </w:t>
      </w:r>
    </w:p>
    <w:p w14:paraId="4DC50C82" w14:textId="77777777" w:rsidR="003379EA" w:rsidRDefault="00BA0180">
      <w:pPr>
        <w:spacing w:before="160" w:after="80"/>
      </w:pPr>
      <w:r>
        <w:rPr>
          <w:b/>
          <w:bCs/>
          <w:sz w:val="24"/>
          <w:szCs w:val="24"/>
        </w:rPr>
        <w:t xml:space="preserve">3. </w:t>
      </w:r>
      <w:r>
        <w:rPr>
          <w:sz w:val="24"/>
          <w:szCs w:val="24"/>
        </w:rPr>
        <w:t>Terrie Hall and Christian Nwigwe succeeded as messengers for very different audiences. What made each effective? What do their examples suggest about who carries credibility—and why?</w:t>
      </w:r>
    </w:p>
    <w:p w14:paraId="4DC50C83" w14:textId="7256DDA2" w:rsidR="003379EA" w:rsidRDefault="00BA0180">
      <w:pPr>
        <w:spacing w:before="160" w:after="80"/>
      </w:pPr>
      <w:r>
        <w:rPr>
          <w:b/>
          <w:bCs/>
          <w:sz w:val="24"/>
          <w:szCs w:val="24"/>
        </w:rPr>
        <w:t xml:space="preserve">4. </w:t>
      </w:r>
      <w:r>
        <w:rPr>
          <w:sz w:val="24"/>
          <w:szCs w:val="24"/>
        </w:rPr>
        <w:t>The case frames communication as itself part of the intervention—not just support for it. What are the practical implications for how a program is designed, staffed, and evaluated?</w:t>
      </w:r>
    </w:p>
    <w:p w14:paraId="4DC50C84" w14:textId="77777777" w:rsidR="003379EA" w:rsidRDefault="00BA0180">
      <w:pPr>
        <w:spacing w:before="160" w:after="80"/>
      </w:pPr>
      <w:r>
        <w:rPr>
          <w:b/>
          <w:bCs/>
          <w:sz w:val="24"/>
          <w:szCs w:val="24"/>
        </w:rPr>
        <w:t xml:space="preserve">5. </w:t>
      </w:r>
      <w:r>
        <w:rPr>
          <w:sz w:val="24"/>
          <w:szCs w:val="24"/>
        </w:rPr>
        <w:t>Community perceptions changed throughout the epidemic. What systems would you put in place to know when your messages need to change? What data would you collect, how often, and who decides when to change the message?</w:t>
      </w:r>
    </w:p>
    <w:p w14:paraId="279C429D" w14:textId="77777777" w:rsidR="00803519" w:rsidRDefault="00803519">
      <w:pPr>
        <w:rPr>
          <w:b/>
          <w:bCs/>
          <w:i/>
          <w:iCs/>
          <w:sz w:val="24"/>
          <w:szCs w:val="24"/>
        </w:rPr>
      </w:pPr>
      <w:r>
        <w:rPr>
          <w:b/>
          <w:bCs/>
          <w:i/>
          <w:iCs/>
          <w:sz w:val="24"/>
          <w:szCs w:val="24"/>
        </w:rPr>
        <w:br w:type="page"/>
      </w:r>
    </w:p>
    <w:p w14:paraId="4DC50C85" w14:textId="63C21493" w:rsidR="003379EA" w:rsidRDefault="00BA0180">
      <w:pPr>
        <w:spacing w:before="200" w:after="80"/>
      </w:pPr>
      <w:r>
        <w:rPr>
          <w:b/>
          <w:bCs/>
          <w:i/>
          <w:iCs/>
          <w:sz w:val="24"/>
          <w:szCs w:val="24"/>
        </w:rPr>
        <w:lastRenderedPageBreak/>
        <w:t>Small-Group Discussion Topics</w:t>
      </w:r>
    </w:p>
    <w:p w14:paraId="4DC50C86" w14:textId="77777777" w:rsidR="003379EA" w:rsidRDefault="00BA0180">
      <w:pPr>
        <w:spacing w:before="160" w:after="80"/>
      </w:pPr>
      <w:r>
        <w:rPr>
          <w:b/>
          <w:bCs/>
          <w:sz w:val="24"/>
          <w:szCs w:val="24"/>
        </w:rPr>
        <w:t xml:space="preserve">1. </w:t>
      </w:r>
      <w:r>
        <w:rPr>
          <w:sz w:val="24"/>
          <w:szCs w:val="24"/>
        </w:rPr>
        <w:t>A novel respiratory virus is spreading in your country. The health ministry’s initial public message is: “This virus is extremely dangerous and there is no treatment.” The statement is accurate. Draft a replacement message that is simple, true, and actionable. Explain what you changed and why.</w:t>
      </w:r>
    </w:p>
    <w:p w14:paraId="4DC50C87" w14:textId="77777777" w:rsidR="003379EA" w:rsidRDefault="00BA0180">
      <w:pPr>
        <w:spacing w:before="160" w:after="80"/>
      </w:pPr>
      <w:r>
        <w:rPr>
          <w:b/>
          <w:bCs/>
          <w:sz w:val="24"/>
          <w:szCs w:val="24"/>
        </w:rPr>
        <w:t xml:space="preserve">2. </w:t>
      </w:r>
      <w:r>
        <w:rPr>
          <w:sz w:val="24"/>
          <w:szCs w:val="24"/>
        </w:rPr>
        <w:t>You lead an outbreak response team in a community that distrusts outside health workers. Using the examples of Terrie Hall and Christian Nwigwe, how would you identify and support effective messengers? What qualities would you look for, and what would you ask them to do?</w:t>
      </w:r>
    </w:p>
    <w:p w14:paraId="5DDC2283" w14:textId="77777777" w:rsidR="003379EA" w:rsidRDefault="003379EA">
      <w:pPr>
        <w:spacing w:after="80"/>
      </w:pPr>
    </w:p>
    <w:sectPr w:rsidR="003379EA">
      <w:footerReference w:type="default" r:id="rId10"/>
      <w:pgSz w:w="12240" w:h="15840"/>
      <w:pgMar w:top="720" w:right="1080" w:bottom="72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BEC64" w14:textId="77777777" w:rsidR="00CB27C1" w:rsidRDefault="00CB27C1">
      <w:r>
        <w:separator/>
      </w:r>
    </w:p>
  </w:endnote>
  <w:endnote w:type="continuationSeparator" w:id="0">
    <w:p w14:paraId="364579D7" w14:textId="77777777" w:rsidR="00CB27C1" w:rsidRDefault="00CB2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92E91" w14:textId="2F126AED" w:rsidR="003379EA" w:rsidRDefault="00BA0180">
    <w:pPr>
      <w:jc w:val="center"/>
    </w:pPr>
    <w:r>
      <w:rPr>
        <w:color w:val="888888"/>
        <w:sz w:val="18"/>
        <w:szCs w:val="18"/>
      </w:rPr>
      <w:t xml:space="preserve">The Formula for Better Health  ·  MIT Press, 2025  ·  </w:t>
    </w:r>
    <w:r w:rsidR="00175792">
      <w:rPr>
        <w:color w:val="888888"/>
        <w:sz w:val="18"/>
        <w:szCs w:val="18"/>
      </w:rPr>
      <w:t>theformulaforbetterhealth.org/</w:t>
    </w:r>
    <w:r w:rsidR="00175792">
      <w:rPr>
        <w:color w:val="888888"/>
        <w:sz w:val="18"/>
        <w:szCs w:val="18"/>
      </w:rPr>
      <w:t>formulateaching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9C1D5" w14:textId="77777777" w:rsidR="00CB27C1" w:rsidRDefault="00CB27C1">
      <w:r>
        <w:separator/>
      </w:r>
    </w:p>
  </w:footnote>
  <w:footnote w:type="continuationSeparator" w:id="0">
    <w:p w14:paraId="23FFE22E" w14:textId="77777777" w:rsidR="00CB27C1" w:rsidRDefault="00CB27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7054DF"/>
    <w:multiLevelType w:val="hybridMultilevel"/>
    <w:tmpl w:val="68A28E14"/>
    <w:lvl w:ilvl="0" w:tplc="34F647BC">
      <w:start w:val="1"/>
      <w:numFmt w:val="bullet"/>
      <w:lvlText w:val="●"/>
      <w:lvlJc w:val="left"/>
      <w:pPr>
        <w:ind w:left="720" w:hanging="360"/>
      </w:pPr>
    </w:lvl>
    <w:lvl w:ilvl="1" w:tplc="541AD868">
      <w:start w:val="1"/>
      <w:numFmt w:val="bullet"/>
      <w:lvlText w:val="○"/>
      <w:lvlJc w:val="left"/>
      <w:pPr>
        <w:ind w:left="1440" w:hanging="360"/>
      </w:pPr>
    </w:lvl>
    <w:lvl w:ilvl="2" w:tplc="CA5A81A6">
      <w:start w:val="1"/>
      <w:numFmt w:val="bullet"/>
      <w:lvlText w:val="■"/>
      <w:lvlJc w:val="left"/>
      <w:pPr>
        <w:ind w:left="2160" w:hanging="360"/>
      </w:pPr>
    </w:lvl>
    <w:lvl w:ilvl="3" w:tplc="467EBBA6">
      <w:start w:val="1"/>
      <w:numFmt w:val="bullet"/>
      <w:lvlText w:val="●"/>
      <w:lvlJc w:val="left"/>
      <w:pPr>
        <w:ind w:left="2880" w:hanging="360"/>
      </w:pPr>
    </w:lvl>
    <w:lvl w:ilvl="4" w:tplc="6A829808">
      <w:start w:val="1"/>
      <w:numFmt w:val="bullet"/>
      <w:lvlText w:val="○"/>
      <w:lvlJc w:val="left"/>
      <w:pPr>
        <w:ind w:left="3600" w:hanging="360"/>
      </w:pPr>
    </w:lvl>
    <w:lvl w:ilvl="5" w:tplc="E384FE24">
      <w:start w:val="1"/>
      <w:numFmt w:val="bullet"/>
      <w:lvlText w:val="■"/>
      <w:lvlJc w:val="left"/>
      <w:pPr>
        <w:ind w:left="4320" w:hanging="360"/>
      </w:pPr>
    </w:lvl>
    <w:lvl w:ilvl="6" w:tplc="54B4D7E4">
      <w:start w:val="1"/>
      <w:numFmt w:val="bullet"/>
      <w:lvlText w:val="●"/>
      <w:lvlJc w:val="left"/>
      <w:pPr>
        <w:ind w:left="5040" w:hanging="360"/>
      </w:pPr>
    </w:lvl>
    <w:lvl w:ilvl="7" w:tplc="EF1EDD1A">
      <w:start w:val="1"/>
      <w:numFmt w:val="bullet"/>
      <w:lvlText w:val="●"/>
      <w:lvlJc w:val="left"/>
      <w:pPr>
        <w:ind w:left="5760" w:hanging="360"/>
      </w:pPr>
    </w:lvl>
    <w:lvl w:ilvl="8" w:tplc="EAAC77B6">
      <w:start w:val="1"/>
      <w:numFmt w:val="bullet"/>
      <w:lvlText w:val="●"/>
      <w:lvlJc w:val="left"/>
      <w:pPr>
        <w:ind w:left="6480" w:hanging="360"/>
      </w:pPr>
    </w:lvl>
  </w:abstractNum>
  <w:num w:numId="1" w16cid:durableId="116903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oNotDisplayPageBoundaries/>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9EA"/>
    <w:rsid w:val="000A300E"/>
    <w:rsid w:val="00175792"/>
    <w:rsid w:val="001C5041"/>
    <w:rsid w:val="00334878"/>
    <w:rsid w:val="003379EA"/>
    <w:rsid w:val="007B3B16"/>
    <w:rsid w:val="00803519"/>
    <w:rsid w:val="00957C8C"/>
    <w:rsid w:val="00B10FDC"/>
    <w:rsid w:val="00B466FB"/>
    <w:rsid w:val="00BA0180"/>
    <w:rsid w:val="00C30566"/>
    <w:rsid w:val="00CB27C1"/>
    <w:rsid w:val="00FF1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A500EF"/>
  <w15:docId w15:val="{25E9F169-3F2B-D44C-8737-25C6BEC4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175792"/>
    <w:pPr>
      <w:tabs>
        <w:tab w:val="center" w:pos="4680"/>
        <w:tab w:val="right" w:pos="9360"/>
      </w:tabs>
    </w:pPr>
  </w:style>
  <w:style w:type="character" w:customStyle="1" w:styleId="HeaderChar">
    <w:name w:val="Header Char"/>
    <w:basedOn w:val="DefaultParagraphFont"/>
    <w:link w:val="Header"/>
    <w:uiPriority w:val="99"/>
    <w:rsid w:val="00175792"/>
  </w:style>
  <w:style w:type="paragraph" w:styleId="Footer">
    <w:name w:val="footer"/>
    <w:basedOn w:val="Normal"/>
    <w:link w:val="FooterChar"/>
    <w:uiPriority w:val="99"/>
    <w:unhideWhenUsed/>
    <w:rsid w:val="00175792"/>
    <w:pPr>
      <w:tabs>
        <w:tab w:val="center" w:pos="4680"/>
        <w:tab w:val="right" w:pos="9360"/>
      </w:tabs>
    </w:pPr>
  </w:style>
  <w:style w:type="character" w:customStyle="1" w:styleId="FooterChar">
    <w:name w:val="Footer Char"/>
    <w:basedOn w:val="DefaultParagraphFont"/>
    <w:link w:val="Footer"/>
    <w:uiPriority w:val="99"/>
    <w:rsid w:val="00175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5719744DB93641A8403A60BF24F6D2" ma:contentTypeVersion="15" ma:contentTypeDescription="Create a new document." ma:contentTypeScope="" ma:versionID="5f36845b1f1627a778cdf16d10f379a3">
  <xsd:schema xmlns:xsd="http://www.w3.org/2001/XMLSchema" xmlns:xs="http://www.w3.org/2001/XMLSchema" xmlns:p="http://schemas.microsoft.com/office/2006/metadata/properties" xmlns:ns2="89c6c834-5500-4d34-8d4a-2e90563177f5" xmlns:ns3="8cc82467-8cb5-4206-ba7c-5e39ccabeebb" targetNamespace="http://schemas.microsoft.com/office/2006/metadata/properties" ma:root="true" ma:fieldsID="da4900190a686e0e4816f311ebe1f90b" ns2:_="" ns3:_="">
    <xsd:import namespace="89c6c834-5500-4d34-8d4a-2e90563177f5"/>
    <xsd:import namespace="8cc82467-8cb5-4206-ba7c-5e39ccabee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6c834-5500-4d34-8d4a-2e9056317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f55c54-333a-4ed3-a999-6f0836af511a"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c82467-8cb5-4206-ba7c-5e39ccabeeb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9c6c834-5500-4d34-8d4a-2e90563177f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8DECC7-E5BC-4814-BDC6-FCB83E934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c6c834-5500-4d34-8d4a-2e90563177f5"/>
    <ds:schemaRef ds:uri="8cc82467-8cb5-4206-ba7c-5e39ccabe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37157-4629-4683-BAC3-F391C34FDE1C}">
  <ds:schemaRefs>
    <ds:schemaRef ds:uri="http://schemas.microsoft.com/office/2006/metadata/properties"/>
    <ds:schemaRef ds:uri="http://schemas.microsoft.com/office/infopath/2007/PartnerControls"/>
    <ds:schemaRef ds:uri="89c6c834-5500-4d34-8d4a-2e90563177f5"/>
  </ds:schemaRefs>
</ds:datastoreItem>
</file>

<file path=customXml/itemProps3.xml><?xml version="1.0" encoding="utf-8"?>
<ds:datastoreItem xmlns:ds="http://schemas.openxmlformats.org/officeDocument/2006/customXml" ds:itemID="{793EB463-D0F6-41ED-935E-D80ABBAF69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947</Words>
  <Characters>5192</Characters>
  <Application>Microsoft Office Word</Application>
  <DocSecurity>0</DocSecurity>
  <Lines>87</Lines>
  <Paragraphs>37</Paragraphs>
  <ScaleCrop>false</ScaleCrop>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Tom Frieden</cp:lastModifiedBy>
  <cp:revision>3</cp:revision>
  <dcterms:created xsi:type="dcterms:W3CDTF">2026-03-16T20:45:00Z</dcterms:created>
  <dcterms:modified xsi:type="dcterms:W3CDTF">2026-03-16T21:00:00Z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2026-03-07T19:43:08Z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762de5b4-45da-4234-a5e1-ee3e978f8a57</vt:lpwstr>
  </property>
  <property fmtid="{D5CDD505-2E9C-101B-9397-08002B2CF9AE}" pid="7" name="MSIP_Label_defa4170-0d19-0005-0004-bc88714345d2_ActionId">
    <vt:lpwstr>dd34e8d0-0ae8-4390-97a7-0f434d766358</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y fmtid="{D5CDD505-2E9C-101B-9397-08002B2CF9AE}" pid="10" name="ContentTypeId">
    <vt:lpwstr>0x010100C15719744DB93641A8403A60BF24F6D2</vt:lpwstr>
  </property>
  <property fmtid="{D5CDD505-2E9C-101B-9397-08002B2CF9AE}" pid="11" name="MediaServiceImageTags">
    <vt:lpwstr/>
  </property>
</Properties>
</file>