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3379EA" w14:paraId="077E5370"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6F6DF2F3" w14:textId="77777777" w:rsidR="003379EA" w:rsidRDefault="008F6B08">
            <w:r>
              <w:rPr>
                <w:rFonts w:ascii="Arial" w:eastAsia="Arial" w:hAnsi="Arial" w:cs="Arial"/>
                <w:b/>
                <w:bCs/>
                <w:color w:val="FFFFFF"/>
                <w:sz w:val="16"/>
                <w:szCs w:val="16"/>
              </w:rPr>
              <w:t>THE FORMULA FOR BETTER HEALTH  ·  CASE STUDY: COMMUNICATE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680E4BC9" w14:textId="77777777" w:rsidR="003379EA" w:rsidRDefault="008F6B08">
            <w:pPr>
              <w:jc w:val="center"/>
            </w:pPr>
            <w:r>
              <w:rPr>
                <w:rFonts w:ascii="Arial" w:eastAsia="Arial" w:hAnsi="Arial" w:cs="Arial"/>
                <w:b/>
                <w:bCs/>
                <w:color w:val="444444"/>
                <w:sz w:val="16"/>
                <w:szCs w:val="16"/>
              </w:rPr>
              <w:t>INSTRUCTOR GUIDE</w:t>
            </w:r>
          </w:p>
        </w:tc>
      </w:tr>
    </w:tbl>
    <w:p w14:paraId="14539501" w14:textId="77777777" w:rsidR="003379EA" w:rsidRDefault="008F6B08">
      <w:pPr>
        <w:spacing w:before="200" w:after="60"/>
      </w:pPr>
      <w:r>
        <w:rPr>
          <w:b/>
          <w:bCs/>
          <w:sz w:val="36"/>
          <w:szCs w:val="36"/>
        </w:rPr>
        <w:t>Ebola in Guinea: Communication as a Public Health Intervention—Instructor Guide</w:t>
      </w:r>
    </w:p>
    <w:p w14:paraId="65880C5F" w14:textId="77777777" w:rsidR="003379EA" w:rsidRDefault="003379EA">
      <w:pPr>
        <w:pBdr>
          <w:bottom w:val="single" w:sz="4" w:space="0" w:color="008B8B"/>
        </w:pBdr>
      </w:pPr>
    </w:p>
    <w:p w14:paraId="10000001" w14:textId="77777777" w:rsidR="003379EA" w:rsidRDefault="008F6B08">
      <w:pPr>
        <w:spacing w:before="240" w:after="80"/>
      </w:pPr>
      <w:r>
        <w:rPr>
          <w:b/>
          <w:bCs/>
          <w:sz w:val="28"/>
          <w:szCs w:val="28"/>
        </w:rPr>
        <w:t>Purpose</w:t>
      </w:r>
    </w:p>
    <w:p w14:paraId="10000002" w14:textId="77777777" w:rsidR="003379EA" w:rsidRDefault="008F6B08">
      <w:pPr>
        <w:spacing w:after="160"/>
      </w:pPr>
      <w:r>
        <w:rPr>
          <w:sz w:val="24"/>
          <w:szCs w:val="24"/>
        </w:rPr>
        <w:t>This guide supports teaching of the Guinea Ebola communication case study in courses on public health practice, health communication, global health, or outbreak response. The case illustrates that communication is not a support function for public health interventions—it is itself an intervention. A message that is accurate but counterproductive can undermine an entire response. A message that is simple, true, and actionable can create the conditions for cooperation that enforcement alone cannot achieve.</w:t>
      </w:r>
    </w:p>
    <w:p w14:paraId="10000004" w14:textId="77777777" w:rsidR="003379EA" w:rsidRDefault="008F6B08">
      <w:pPr>
        <w:spacing w:before="240" w:after="80"/>
      </w:pPr>
      <w:r>
        <w:rPr>
          <w:b/>
          <w:bCs/>
          <w:sz w:val="28"/>
          <w:szCs w:val="28"/>
        </w:rPr>
        <w:t>Course Fit and Suggested Use</w:t>
      </w:r>
    </w:p>
    <w:p w14:paraId="10000005" w14:textId="77777777" w:rsidR="003379EA" w:rsidRDefault="008F6B08">
      <w:pPr>
        <w:spacing w:after="160"/>
      </w:pPr>
      <w:r>
        <w:rPr>
          <w:sz w:val="24"/>
          <w:szCs w:val="24"/>
        </w:rPr>
        <w:t>Best fit: health communication, public health practice, global health, outbreak response, or community engagement courses.</w:t>
      </w:r>
    </w:p>
    <w:p w14:paraId="10000006" w14:textId="77777777" w:rsidR="003379EA" w:rsidRDefault="008F6B08">
      <w:pPr>
        <w:spacing w:after="160"/>
      </w:pPr>
      <w:r>
        <w:rPr>
          <w:sz w:val="24"/>
          <w:szCs w:val="24"/>
        </w:rPr>
        <w:t>Level: upper-level undergraduate or graduate. Adaptable for field training.</w:t>
      </w:r>
    </w:p>
    <w:p w14:paraId="10000007" w14:textId="77777777" w:rsidR="003379EA" w:rsidRDefault="008F6B08">
      <w:pPr>
        <w:spacing w:after="160"/>
      </w:pPr>
      <w:r>
        <w:rPr>
          <w:sz w:val="24"/>
          <w:szCs w:val="24"/>
        </w:rPr>
        <w:t>Time: one 60-minute session. Can be shortened to 45 minutes with strong pre-class preparation.</w:t>
      </w:r>
    </w:p>
    <w:p w14:paraId="10000008" w14:textId="77777777" w:rsidR="003379EA" w:rsidRDefault="008F6B08">
      <w:pPr>
        <w:spacing w:after="160"/>
      </w:pPr>
      <w:r>
        <w:rPr>
          <w:sz w:val="24"/>
          <w:szCs w:val="24"/>
        </w:rPr>
        <w:t xml:space="preserve">Placement: after students have read Chapter 7 of </w:t>
      </w:r>
      <w:r>
        <w:rPr>
          <w:i/>
          <w:iCs/>
          <w:sz w:val="24"/>
          <w:szCs w:val="24"/>
        </w:rPr>
        <w:t>The Formula for Better Health.</w:t>
      </w:r>
      <w:r>
        <w:rPr>
          <w:sz w:val="24"/>
          <w:szCs w:val="24"/>
        </w:rPr>
        <w:t xml:space="preserve"> Pairs well with the Mandates Ebola in Guinea case study, which uses the same epidemic to examine enforcement rather than communication.</w:t>
      </w:r>
    </w:p>
    <w:p w14:paraId="10000009" w14:textId="77777777" w:rsidR="003379EA" w:rsidRDefault="008F6B08">
      <w:pPr>
        <w:spacing w:before="240" w:after="80"/>
      </w:pPr>
      <w:r>
        <w:rPr>
          <w:b/>
          <w:bCs/>
          <w:sz w:val="28"/>
          <w:szCs w:val="28"/>
        </w:rPr>
        <w:t>Learning Objectives</w:t>
      </w:r>
    </w:p>
    <w:p w14:paraId="1000000A" w14:textId="77777777" w:rsidR="003379EA" w:rsidRDefault="008F6B08">
      <w:pPr>
        <w:spacing w:after="80"/>
      </w:pPr>
      <w:r>
        <w:rPr>
          <w:sz w:val="24"/>
          <w:szCs w:val="24"/>
        </w:rPr>
        <w:t>By the end of the session, students should be able to:</w:t>
      </w:r>
    </w:p>
    <w:p w14:paraId="1000000C" w14:textId="2D089686" w:rsidR="003379EA" w:rsidRDefault="008F6B08" w:rsidP="000E19B4">
      <w:pPr>
        <w:spacing w:after="80"/>
        <w:ind w:left="360" w:hanging="360"/>
      </w:pPr>
      <w:r>
        <w:rPr>
          <w:sz w:val="24"/>
          <w:szCs w:val="24"/>
        </w:rPr>
        <w:t xml:space="preserve">•  Explain why a factually accurate public health message can </w:t>
      </w:r>
      <w:r w:rsidR="000E19B4">
        <w:rPr>
          <w:sz w:val="24"/>
          <w:szCs w:val="24"/>
        </w:rPr>
        <w:t>be counterproductive</w:t>
      </w:r>
      <w:r>
        <w:rPr>
          <w:sz w:val="24"/>
          <w:szCs w:val="24"/>
        </w:rPr>
        <w:t>.</w:t>
      </w:r>
    </w:p>
    <w:p w14:paraId="1000000D" w14:textId="7493D87D" w:rsidR="003379EA" w:rsidRDefault="008F6B08">
      <w:pPr>
        <w:spacing w:after="80"/>
        <w:ind w:left="360" w:hanging="360"/>
      </w:pPr>
      <w:r>
        <w:rPr>
          <w:sz w:val="24"/>
          <w:szCs w:val="24"/>
        </w:rPr>
        <w:t xml:space="preserve">•  Distinguish between message failure, messenger failure, and </w:t>
      </w:r>
      <w:r w:rsidR="000E19B4">
        <w:rPr>
          <w:sz w:val="24"/>
          <w:szCs w:val="24"/>
        </w:rPr>
        <w:t>failure to evolve the message as the community or perception changes</w:t>
      </w:r>
      <w:r>
        <w:rPr>
          <w:sz w:val="24"/>
          <w:szCs w:val="24"/>
        </w:rPr>
        <w:t>.</w:t>
      </w:r>
    </w:p>
    <w:p w14:paraId="1000000E" w14:textId="77777777" w:rsidR="003379EA" w:rsidRDefault="008F6B08">
      <w:pPr>
        <w:spacing w:after="80"/>
        <w:ind w:left="360" w:hanging="360"/>
      </w:pPr>
      <w:r>
        <w:rPr>
          <w:sz w:val="24"/>
          <w:szCs w:val="24"/>
        </w:rPr>
        <w:t>•  Analyze what makes a messenger credible and apply that analysis to selecting messengers for a specific audience.</w:t>
      </w:r>
    </w:p>
    <w:p w14:paraId="1000000F" w14:textId="77777777" w:rsidR="003379EA" w:rsidRDefault="008F6B08">
      <w:pPr>
        <w:spacing w:after="160"/>
        <w:ind w:left="360" w:hanging="360"/>
      </w:pPr>
      <w:r>
        <w:rPr>
          <w:sz w:val="24"/>
          <w:szCs w:val="24"/>
        </w:rPr>
        <w:t>•  Design a communication strategy that tracks and responds to changing audience perceptions over time.</w:t>
      </w:r>
    </w:p>
    <w:p w14:paraId="10000010" w14:textId="77777777" w:rsidR="003379EA" w:rsidRDefault="008F6B08">
      <w:pPr>
        <w:spacing w:before="240" w:after="80"/>
      </w:pPr>
      <w:r>
        <w:rPr>
          <w:b/>
          <w:bCs/>
          <w:sz w:val="28"/>
          <w:szCs w:val="28"/>
        </w:rPr>
        <w:t>Session Structure (60 minutes)</w:t>
      </w:r>
    </w:p>
    <w:p w14:paraId="10000011" w14:textId="77777777" w:rsidR="003379EA" w:rsidRDefault="008F6B08">
      <w:pPr>
        <w:spacing w:after="80"/>
      </w:pPr>
      <w:r>
        <w:rPr>
          <w:sz w:val="24"/>
          <w:szCs w:val="24"/>
        </w:rPr>
        <w:t>0–5 min — Opening hook: ask students to share preparation question responses.</w:t>
      </w:r>
    </w:p>
    <w:p w14:paraId="10000012" w14:textId="77777777" w:rsidR="003379EA" w:rsidRDefault="008F6B08">
      <w:pPr>
        <w:spacing w:after="80"/>
      </w:pPr>
      <w:r>
        <w:rPr>
          <w:sz w:val="24"/>
          <w:szCs w:val="24"/>
        </w:rPr>
        <w:t>5–15 min — Brief lecture: the trust crisis in Guinea and how accurate messages made it worse.</w:t>
      </w:r>
    </w:p>
    <w:p w14:paraId="10000013" w14:textId="77777777" w:rsidR="003379EA" w:rsidRDefault="008F6B08">
      <w:pPr>
        <w:spacing w:after="80"/>
      </w:pPr>
      <w:r>
        <w:rPr>
          <w:sz w:val="24"/>
          <w:szCs w:val="24"/>
        </w:rPr>
        <w:t>15–35 min — Discussion of the five main questions, spending more time on Q1–Q2 (messages) and Q3 (messengers).</w:t>
      </w:r>
    </w:p>
    <w:p w14:paraId="10000014" w14:textId="77777777" w:rsidR="003379EA" w:rsidRDefault="008F6B08">
      <w:pPr>
        <w:spacing w:after="80"/>
      </w:pPr>
      <w:r>
        <w:rPr>
          <w:sz w:val="24"/>
          <w:szCs w:val="24"/>
        </w:rPr>
        <w:t>35–50 min — Small-group exercise on the two applied scenarios.</w:t>
      </w:r>
    </w:p>
    <w:p w14:paraId="10000015" w14:textId="77777777" w:rsidR="003379EA" w:rsidRDefault="008F6B08">
      <w:pPr>
        <w:spacing w:after="160"/>
      </w:pPr>
      <w:r>
        <w:rPr>
          <w:sz w:val="24"/>
          <w:szCs w:val="24"/>
        </w:rPr>
        <w:t>50–60 min — Synthesis and post-class handout distribution.</w:t>
      </w:r>
    </w:p>
    <w:p w14:paraId="10000016" w14:textId="77777777" w:rsidR="003379EA" w:rsidRDefault="008F6B08">
      <w:pPr>
        <w:spacing w:before="240" w:after="80"/>
      </w:pPr>
      <w:r>
        <w:rPr>
          <w:b/>
          <w:bCs/>
          <w:sz w:val="28"/>
          <w:szCs w:val="28"/>
        </w:rPr>
        <w:t>Opening (0–5 min)</w:t>
      </w:r>
    </w:p>
    <w:p w14:paraId="10000017" w14:textId="74D106BB" w:rsidR="003379EA" w:rsidRDefault="008F6B08">
      <w:pPr>
        <w:spacing w:after="160"/>
      </w:pPr>
      <w:r>
        <w:rPr>
          <w:sz w:val="24"/>
          <w:szCs w:val="24"/>
        </w:rPr>
        <w:t xml:space="preserve">Ask two or three students to read their preparation question responses aloud. Accuracy </w:t>
      </w:r>
      <w:r w:rsidR="000E19B4">
        <w:rPr>
          <w:sz w:val="24"/>
          <w:szCs w:val="24"/>
        </w:rPr>
        <w:t>vs.</w:t>
      </w:r>
      <w:r>
        <w:rPr>
          <w:sz w:val="24"/>
          <w:szCs w:val="24"/>
        </w:rPr>
        <w:t xml:space="preserve"> effect is the central tension of the session.</w:t>
      </w:r>
    </w:p>
    <w:p w14:paraId="10000018" w14:textId="77777777" w:rsidR="003379EA" w:rsidRDefault="008F6B08">
      <w:pPr>
        <w:spacing w:before="240" w:after="80"/>
      </w:pPr>
      <w:r>
        <w:rPr>
          <w:b/>
          <w:bCs/>
          <w:sz w:val="28"/>
          <w:szCs w:val="28"/>
        </w:rPr>
        <w:lastRenderedPageBreak/>
        <w:t>Brief Lecture: The Context (5–15 min)</w:t>
      </w:r>
    </w:p>
    <w:p w14:paraId="1000001A" w14:textId="77777777" w:rsidR="003379EA" w:rsidRDefault="008F6B08">
      <w:pPr>
        <w:spacing w:after="80"/>
        <w:ind w:left="360" w:hanging="360"/>
      </w:pPr>
      <w:r>
        <w:rPr>
          <w:sz w:val="24"/>
          <w:szCs w:val="24"/>
        </w:rPr>
        <w:t>•  Guinea 2014: the epidemic required community cooperation—reporting illness, naming contacts, changing burial practices. CDC had been present for eighteen months without treating patients. Communities noticed.</w:t>
      </w:r>
    </w:p>
    <w:p w14:paraId="1000001B" w14:textId="1BECBFA5" w:rsidR="003379EA" w:rsidRDefault="008F6B08">
      <w:pPr>
        <w:spacing w:after="80"/>
        <w:ind w:left="360" w:hanging="360"/>
      </w:pPr>
      <w:r>
        <w:rPr>
          <w:sz w:val="24"/>
          <w:szCs w:val="24"/>
        </w:rPr>
        <w:t xml:space="preserve">•  “Don’t eat bushmeat” was irrelevant by the time it spread. “Ebola cannot be cured” </w:t>
      </w:r>
      <w:r w:rsidR="000E19B4">
        <w:rPr>
          <w:sz w:val="24"/>
          <w:szCs w:val="24"/>
        </w:rPr>
        <w:t xml:space="preserve">undermined </w:t>
      </w:r>
      <w:r>
        <w:rPr>
          <w:sz w:val="24"/>
          <w:szCs w:val="24"/>
        </w:rPr>
        <w:t>the rational basis for cooperation. Both were accurate. Both were counterproductive.</w:t>
      </w:r>
    </w:p>
    <w:p w14:paraId="1000001C" w14:textId="1FD60A3B" w:rsidR="003379EA" w:rsidRDefault="008F6B08">
      <w:pPr>
        <w:spacing w:after="80"/>
        <w:ind w:left="360" w:hanging="360"/>
      </w:pPr>
      <w:r>
        <w:rPr>
          <w:sz w:val="24"/>
          <w:szCs w:val="24"/>
        </w:rPr>
        <w:t>•  “Ebola is real”: simple</w:t>
      </w:r>
      <w:r w:rsidR="000E19B4">
        <w:rPr>
          <w:sz w:val="24"/>
          <w:szCs w:val="24"/>
        </w:rPr>
        <w:t xml:space="preserve"> and </w:t>
      </w:r>
      <w:r>
        <w:rPr>
          <w:sz w:val="24"/>
          <w:szCs w:val="24"/>
        </w:rPr>
        <w:t xml:space="preserve">true. </w:t>
      </w:r>
      <w:r w:rsidR="000E19B4">
        <w:rPr>
          <w:sz w:val="24"/>
          <w:szCs w:val="24"/>
        </w:rPr>
        <w:t>Contact tracing, isolation, and s</w:t>
      </w:r>
      <w:r>
        <w:rPr>
          <w:sz w:val="24"/>
          <w:szCs w:val="24"/>
        </w:rPr>
        <w:t>afe and dignified burial became possible only after communities accepted the disease was real.</w:t>
      </w:r>
    </w:p>
    <w:p w14:paraId="1000001D" w14:textId="77777777" w:rsidR="003379EA" w:rsidRDefault="008F6B08">
      <w:pPr>
        <w:spacing w:after="160"/>
        <w:ind w:left="360" w:hanging="360"/>
      </w:pPr>
      <w:r>
        <w:rPr>
          <w:sz w:val="24"/>
          <w:szCs w:val="24"/>
        </w:rPr>
        <w:t>•  Core point: accuracy is necessary but not sufficient. The standard that matters is whether the message produces the right behavior.</w:t>
      </w:r>
    </w:p>
    <w:p w14:paraId="1000001E" w14:textId="77777777" w:rsidR="003379EA" w:rsidRDefault="008F6B08">
      <w:pPr>
        <w:spacing w:before="240" w:after="80"/>
      </w:pPr>
      <w:r>
        <w:rPr>
          <w:b/>
          <w:bCs/>
          <w:sz w:val="28"/>
          <w:szCs w:val="28"/>
        </w:rPr>
        <w:t>Discussion Question Guidance</w:t>
      </w:r>
    </w:p>
    <w:p w14:paraId="78B13360" w14:textId="7EFE2D16" w:rsidR="000E19B4" w:rsidRDefault="008F6B08">
      <w:pPr>
        <w:spacing w:before="160" w:after="80"/>
        <w:rPr>
          <w:b/>
          <w:bCs/>
          <w:sz w:val="24"/>
          <w:szCs w:val="24"/>
        </w:rPr>
      </w:pPr>
      <w:r>
        <w:rPr>
          <w:b/>
          <w:bCs/>
          <w:sz w:val="24"/>
          <w:szCs w:val="24"/>
        </w:rPr>
        <w:t>Question 1 — Why Accurate Messages Made Things Worse</w:t>
      </w:r>
    </w:p>
    <w:p w14:paraId="246096C3" w14:textId="5C09CCAF" w:rsidR="000E19B4" w:rsidRPr="000E19B4" w:rsidRDefault="000E19B4">
      <w:pPr>
        <w:spacing w:before="160" w:after="80"/>
        <w:rPr>
          <w:i/>
          <w:iCs/>
        </w:rPr>
      </w:pPr>
      <w:r w:rsidRPr="000E19B4">
        <w:rPr>
          <w:i/>
          <w:iCs/>
          <w:sz w:val="24"/>
          <w:szCs w:val="24"/>
        </w:rPr>
        <w:t xml:space="preserve">Both early Ebola messages—“don’t eat bushmeat” and “Ebola cannot be cured”—were factually accurate. Why did they make the epidemic worse? </w:t>
      </w:r>
    </w:p>
    <w:p w14:paraId="10000020" w14:textId="5B570E7D" w:rsidR="003379EA" w:rsidRDefault="008F6B08">
      <w:pPr>
        <w:spacing w:after="160"/>
      </w:pPr>
      <w:r>
        <w:rPr>
          <w:sz w:val="24"/>
          <w:szCs w:val="24"/>
        </w:rPr>
        <w:t xml:space="preserve">“Don’t eat bushmeat” was not just poorly framed—it was irrelevant to the actual transmission route by the time it circulated. “Ebola cannot be cured” </w:t>
      </w:r>
      <w:r w:rsidR="000E19B4">
        <w:rPr>
          <w:sz w:val="24"/>
          <w:szCs w:val="24"/>
        </w:rPr>
        <w:t>undermined</w:t>
      </w:r>
      <w:r>
        <w:rPr>
          <w:sz w:val="24"/>
          <w:szCs w:val="24"/>
        </w:rPr>
        <w:t xml:space="preserve"> the incentive to cooperate: if reporting a sick relative leads to their removal and death, why report? The question every communicator must answer is not “Is this true?” but “What will people do when they hear this?”</w:t>
      </w:r>
    </w:p>
    <w:p w14:paraId="10000021" w14:textId="77777777" w:rsidR="003379EA" w:rsidRPr="000E19B4" w:rsidRDefault="008F6B08">
      <w:pPr>
        <w:spacing w:before="160" w:after="80"/>
        <w:rPr>
          <w:b/>
          <w:bCs/>
          <w:i/>
          <w:iCs/>
          <w:sz w:val="24"/>
          <w:szCs w:val="24"/>
        </w:rPr>
      </w:pPr>
      <w:r>
        <w:rPr>
          <w:b/>
          <w:bCs/>
          <w:sz w:val="24"/>
          <w:szCs w:val="24"/>
        </w:rPr>
        <w:t>Question 2 — What “Ebola Is Real” Did Differently</w:t>
      </w:r>
    </w:p>
    <w:p w14:paraId="32375BD5" w14:textId="35CA2099" w:rsidR="000E19B4" w:rsidRPr="000E19B4" w:rsidRDefault="000E19B4">
      <w:pPr>
        <w:spacing w:before="160" w:after="80"/>
        <w:rPr>
          <w:i/>
          <w:iCs/>
        </w:rPr>
      </w:pPr>
      <w:r w:rsidRPr="000E19B4">
        <w:rPr>
          <w:i/>
          <w:iCs/>
          <w:sz w:val="24"/>
          <w:szCs w:val="24"/>
        </w:rPr>
        <w:t>What principles does “Ebola is real” illustrate that the earlier messages violated?</w:t>
      </w:r>
    </w:p>
    <w:p w14:paraId="10000022" w14:textId="44BA9644" w:rsidR="003379EA" w:rsidRDefault="008F6B08">
      <w:pPr>
        <w:spacing w:after="160"/>
      </w:pPr>
      <w:r>
        <w:rPr>
          <w:sz w:val="24"/>
          <w:szCs w:val="24"/>
        </w:rPr>
        <w:t>First, simplicity: the message spread person to person without translation or institutional mediation. Second, truth: it said nothing false and made no promises it could not keep. Third, it opened a door. Once people accepted Ebola was real, they could accept that safe burial mattered, that contact tracing was not surveillance for its own sake, and that the response had something to offer. Ask students: can you think of a current public health message that is accurate but not actionable? What would you repl</w:t>
      </w:r>
      <w:r>
        <w:rPr>
          <w:sz w:val="24"/>
          <w:szCs w:val="24"/>
        </w:rPr>
        <w:t>ace it with?</w:t>
      </w:r>
    </w:p>
    <w:p w14:paraId="10000023" w14:textId="77777777" w:rsidR="003379EA" w:rsidRDefault="008F6B08">
      <w:pPr>
        <w:spacing w:before="160" w:after="80"/>
        <w:rPr>
          <w:b/>
          <w:bCs/>
          <w:sz w:val="24"/>
          <w:szCs w:val="24"/>
        </w:rPr>
      </w:pPr>
      <w:r>
        <w:rPr>
          <w:b/>
          <w:bCs/>
          <w:sz w:val="24"/>
          <w:szCs w:val="24"/>
        </w:rPr>
        <w:t>Question 3 — The Right Messenger</w:t>
      </w:r>
    </w:p>
    <w:p w14:paraId="7EB8B3FC" w14:textId="12E0D994" w:rsidR="000E19B4" w:rsidRPr="000E19B4" w:rsidRDefault="000E19B4">
      <w:pPr>
        <w:spacing w:before="160" w:after="80"/>
        <w:rPr>
          <w:i/>
          <w:iCs/>
        </w:rPr>
      </w:pPr>
      <w:r w:rsidRPr="000E19B4">
        <w:rPr>
          <w:i/>
          <w:iCs/>
          <w:sz w:val="24"/>
          <w:szCs w:val="24"/>
        </w:rPr>
        <w:t>Terrie Hall and Christian Nwigwe succeeded as messengers for very different audiences. What made each effective? What do their examples suggest about who carries credibility—and why?</w:t>
      </w:r>
    </w:p>
    <w:p w14:paraId="10000024" w14:textId="77777777" w:rsidR="003379EA" w:rsidRDefault="008F6B08">
      <w:pPr>
        <w:spacing w:after="160"/>
      </w:pPr>
      <w:r>
        <w:rPr>
          <w:sz w:val="24"/>
          <w:szCs w:val="24"/>
        </w:rPr>
        <w:t>Terrie Hall’s credibility came from shared experience: she had smoked, she had suffered, she was visibly paying the price. No clinical statistic could replicate what her voice—damaged by surgery—communicated in seconds. Nwigwe’s credibility came from sustained presence: showing up week after week, bringing lunch, asking nothing. Neither had the credentials that health systems typically rely on. Both had something more powerful: the audience believed them. Ask students to articulate the difference between in</w:t>
      </w:r>
      <w:r>
        <w:rPr>
          <w:sz w:val="24"/>
          <w:szCs w:val="24"/>
        </w:rPr>
        <w:t>stitutional credibility (a doctor, a health department) and earned credibility (a person whose experience the audience recognizes as their own). Then ask: can health systems systematically identify and support people like Hall and Nwigwe, or is this inherently ad hoc? The chapter argues it can be systematized—New York City’s TB program hired community outreach workers deliberately, not accidentally.</w:t>
      </w:r>
    </w:p>
    <w:p w14:paraId="10000025" w14:textId="77777777" w:rsidR="003379EA" w:rsidRDefault="008F6B08">
      <w:pPr>
        <w:spacing w:before="160" w:after="80"/>
        <w:rPr>
          <w:b/>
          <w:bCs/>
          <w:sz w:val="24"/>
          <w:szCs w:val="24"/>
        </w:rPr>
      </w:pPr>
      <w:r>
        <w:rPr>
          <w:b/>
          <w:bCs/>
          <w:sz w:val="24"/>
          <w:szCs w:val="24"/>
        </w:rPr>
        <w:t>Question 4 — Communication as Intervention</w:t>
      </w:r>
    </w:p>
    <w:p w14:paraId="0FA61A97" w14:textId="5298D231" w:rsidR="000E19B4" w:rsidRPr="000E19B4" w:rsidRDefault="000E19B4">
      <w:pPr>
        <w:spacing w:before="160" w:after="80"/>
        <w:rPr>
          <w:i/>
          <w:iCs/>
        </w:rPr>
      </w:pPr>
      <w:r w:rsidRPr="000E19B4">
        <w:rPr>
          <w:i/>
          <w:iCs/>
          <w:sz w:val="24"/>
          <w:szCs w:val="24"/>
        </w:rPr>
        <w:t>The case frames communication as itself part of the intervention—not just support for it. What are the practical implications for how a program is designed, staffed, and evaluated?</w:t>
      </w:r>
    </w:p>
    <w:p w14:paraId="10000026" w14:textId="77777777" w:rsidR="003379EA" w:rsidRDefault="008F6B08">
      <w:pPr>
        <w:spacing w:after="160"/>
      </w:pPr>
      <w:r>
        <w:rPr>
          <w:sz w:val="24"/>
          <w:szCs w:val="24"/>
        </w:rPr>
        <w:lastRenderedPageBreak/>
        <w:t>This is the central claim of the case. Push students past agreement toward operational implications. If communication is integral to the intervention, then it requires the same rigor as epidemiological investigation: defined objectives, accountability for results, real-time monitoring, and course correction when the strategy is not working. Ask: how many outbreak response plans treat communication as a line item under “public affairs” rather than as a core operational function? What would change if the comm</w:t>
      </w:r>
      <w:r>
        <w:rPr>
          <w:sz w:val="24"/>
          <w:szCs w:val="24"/>
        </w:rPr>
        <w:t>unication lead sat at the same table as the epidemiology lead and the logistics lead? What would the communication lead be accountable for?</w:t>
      </w:r>
    </w:p>
    <w:p w14:paraId="10000027" w14:textId="77777777" w:rsidR="003379EA" w:rsidRDefault="008F6B08">
      <w:pPr>
        <w:spacing w:before="160" w:after="80"/>
        <w:rPr>
          <w:b/>
          <w:bCs/>
          <w:sz w:val="24"/>
          <w:szCs w:val="24"/>
        </w:rPr>
      </w:pPr>
      <w:r>
        <w:rPr>
          <w:b/>
          <w:bCs/>
          <w:sz w:val="24"/>
          <w:szCs w:val="24"/>
        </w:rPr>
        <w:t>Question 5 — The Discipline to Evolve</w:t>
      </w:r>
    </w:p>
    <w:p w14:paraId="046548F8" w14:textId="3CAD09EA" w:rsidR="000E19B4" w:rsidRPr="000E19B4" w:rsidRDefault="000E19B4">
      <w:pPr>
        <w:spacing w:before="160" w:after="80"/>
        <w:rPr>
          <w:i/>
          <w:iCs/>
        </w:rPr>
      </w:pPr>
      <w:r w:rsidRPr="000E19B4">
        <w:rPr>
          <w:i/>
          <w:iCs/>
          <w:sz w:val="24"/>
          <w:szCs w:val="24"/>
        </w:rPr>
        <w:t>Community perceptions changed throughout the epidemic. What systems would you put in place to know when your messages need to change? What data would you collect, how often, and who decides when to change the message?</w:t>
      </w:r>
    </w:p>
    <w:p w14:paraId="10000028" w14:textId="77777777" w:rsidR="003379EA" w:rsidRDefault="008F6B08">
      <w:pPr>
        <w:spacing w:after="160"/>
      </w:pPr>
      <w:r>
        <w:rPr>
          <w:sz w:val="24"/>
          <w:szCs w:val="24"/>
        </w:rPr>
        <w:t>The Guinea epidemic moved through distinct phases of community perception: denial, fear of treatment units, concern about family protection. A message calibrated to one phase was obsolete in the next. Ask students: what data would tell you that community perceptions have shifted? Possible answers include community health worker reports, refusal rates at treatment units, qualitative interviews, social media monitoring, and tracking the questions communities ask rather than the answers they give. Press studen</w:t>
      </w:r>
      <w:r>
        <w:rPr>
          <w:sz w:val="24"/>
          <w:szCs w:val="24"/>
        </w:rPr>
        <w:t>ts on who decides to change the message and how fast the system can respond. In most bureaucracies, changing the official message requires layers of approval that take weeks. In an epidemic that shifts weekly, that delay is itself a communication failure.</w:t>
      </w:r>
    </w:p>
    <w:p w14:paraId="10000029" w14:textId="77777777" w:rsidR="003379EA" w:rsidRDefault="008F6B08">
      <w:pPr>
        <w:spacing w:before="240" w:after="80"/>
      </w:pPr>
      <w:r>
        <w:rPr>
          <w:b/>
          <w:bCs/>
          <w:sz w:val="28"/>
          <w:szCs w:val="28"/>
        </w:rPr>
        <w:t>Small-Group Discussion Guidance</w:t>
      </w:r>
    </w:p>
    <w:p w14:paraId="1000002A" w14:textId="77777777" w:rsidR="003379EA" w:rsidRDefault="008F6B08">
      <w:pPr>
        <w:spacing w:before="160" w:after="80"/>
        <w:rPr>
          <w:b/>
          <w:bCs/>
          <w:sz w:val="24"/>
          <w:szCs w:val="24"/>
        </w:rPr>
      </w:pPr>
      <w:r>
        <w:rPr>
          <w:b/>
          <w:bCs/>
          <w:sz w:val="24"/>
          <w:szCs w:val="24"/>
        </w:rPr>
        <w:t>Topic 1 — Draft a Replacement Message</w:t>
      </w:r>
    </w:p>
    <w:p w14:paraId="4F0B90CB" w14:textId="09BEAB65" w:rsidR="000E19B4" w:rsidRPr="000E19B4" w:rsidRDefault="000E19B4">
      <w:pPr>
        <w:spacing w:before="160" w:after="80"/>
        <w:rPr>
          <w:i/>
          <w:iCs/>
        </w:rPr>
      </w:pPr>
      <w:r w:rsidRPr="000E19B4">
        <w:rPr>
          <w:i/>
          <w:iCs/>
          <w:sz w:val="24"/>
          <w:szCs w:val="24"/>
        </w:rPr>
        <w:t>A novel respiratory virus is spreading in your country. The health ministry’s initial public message is: “This virus is extremely dangerous and there is no treatment.” The statement is accurate. Draft a replacement message that is simple, true, and actionable. Explain what you changed and why.</w:t>
      </w:r>
    </w:p>
    <w:p w14:paraId="1000002B" w14:textId="7FFC7B17" w:rsidR="003379EA" w:rsidRDefault="008F6B08">
      <w:pPr>
        <w:spacing w:after="160"/>
      </w:pPr>
      <w:r>
        <w:rPr>
          <w:sz w:val="24"/>
          <w:szCs w:val="24"/>
        </w:rPr>
        <w:t>Common mistakes to watch for: messages that are reassuring but vague (“We’re working on it”), messages that try to communicate too much, and messages that are actionable but not honest about uncertainty. The strongest replacements will be short, will name a specific action the audience can take, and will not promise what cannot be delivered. After groups present, ask: which of these messages would you trust if you lived in the affected community? Why?</w:t>
      </w:r>
    </w:p>
    <w:p w14:paraId="1000002C" w14:textId="77777777" w:rsidR="003379EA" w:rsidRDefault="008F6B08">
      <w:pPr>
        <w:spacing w:before="160" w:after="80"/>
        <w:rPr>
          <w:b/>
          <w:bCs/>
          <w:sz w:val="24"/>
          <w:szCs w:val="24"/>
        </w:rPr>
      </w:pPr>
      <w:r>
        <w:rPr>
          <w:b/>
          <w:bCs/>
          <w:sz w:val="24"/>
          <w:szCs w:val="24"/>
        </w:rPr>
        <w:t>Topic 2 — Identify and Support Effective Messengers</w:t>
      </w:r>
    </w:p>
    <w:p w14:paraId="08EB29F2" w14:textId="2E949670" w:rsidR="000E19B4" w:rsidRPr="000E19B4" w:rsidRDefault="000E19B4">
      <w:pPr>
        <w:spacing w:before="160" w:after="80"/>
        <w:rPr>
          <w:i/>
          <w:iCs/>
        </w:rPr>
      </w:pPr>
      <w:r w:rsidRPr="000E19B4">
        <w:rPr>
          <w:i/>
          <w:iCs/>
          <w:sz w:val="24"/>
          <w:szCs w:val="24"/>
        </w:rPr>
        <w:t>You lead an outbreak response team in a community that distrusts outside health workers. Using the examples of Terrie Hall and Christian Nwigwe, how would you identify and support effective messengers? What qualities would you look for, and what would you ask them to do?</w:t>
      </w:r>
    </w:p>
    <w:p w14:paraId="1000002D" w14:textId="77777777" w:rsidR="003379EA" w:rsidRDefault="008F6B08">
      <w:pPr>
        <w:spacing w:after="160"/>
      </w:pPr>
      <w:r>
        <w:rPr>
          <w:sz w:val="24"/>
          <w:szCs w:val="24"/>
        </w:rPr>
        <w:t>Push students past “use community leaders” toward specificity. Which community leaders? How do you identify them in a community you do not know well? What do you ask them to do, and what do you not ask them to do? Hall and Nwigwe offer two models: Hall was recruited for a national campaign and given a platform; Nwigwe operated one-on-one in a sustained relationship. Both required institutional support—Hall needed CDC’s production capacity; Nwigwe needed a program that gave him autonomy and time. Ask: what w</w:t>
      </w:r>
      <w:r>
        <w:rPr>
          <w:sz w:val="24"/>
          <w:szCs w:val="24"/>
        </w:rPr>
        <w:t>ould a health ministry need to invest in before an outbreak to have trusted messengers ready when they are needed? This parallels the pre-investment theme from the mandates case.</w:t>
      </w:r>
    </w:p>
    <w:p w14:paraId="1000002E" w14:textId="77777777" w:rsidR="003379EA" w:rsidRDefault="008F6B08">
      <w:pPr>
        <w:spacing w:before="240" w:after="80"/>
      </w:pPr>
      <w:r>
        <w:rPr>
          <w:b/>
          <w:bCs/>
          <w:sz w:val="28"/>
          <w:szCs w:val="28"/>
        </w:rPr>
        <w:t>Post-Class Synthesis</w:t>
      </w:r>
    </w:p>
    <w:p w14:paraId="1000002F" w14:textId="02803A26" w:rsidR="000E19B4" w:rsidRDefault="008F6B08">
      <w:pPr>
        <w:spacing w:after="80"/>
        <w:rPr>
          <w:i/>
          <w:iCs/>
          <w:sz w:val="24"/>
          <w:szCs w:val="24"/>
        </w:rPr>
      </w:pPr>
      <w:r>
        <w:rPr>
          <w:i/>
          <w:iCs/>
          <w:sz w:val="24"/>
          <w:szCs w:val="24"/>
        </w:rPr>
        <w:t>Distribute to students after the session.</w:t>
      </w:r>
    </w:p>
    <w:p w14:paraId="0C436693" w14:textId="77777777" w:rsidR="000E19B4" w:rsidRDefault="000E19B4">
      <w:pPr>
        <w:rPr>
          <w:i/>
          <w:iCs/>
          <w:sz w:val="24"/>
          <w:szCs w:val="24"/>
        </w:rPr>
      </w:pPr>
      <w:r>
        <w:rPr>
          <w:i/>
          <w:iCs/>
          <w:sz w:val="24"/>
          <w:szCs w:val="24"/>
        </w:rPr>
        <w:br w:type="page"/>
      </w:r>
    </w:p>
    <w:p w14:paraId="616F363A" w14:textId="77777777" w:rsidR="003379EA" w:rsidRDefault="003379EA">
      <w:pPr>
        <w:spacing w:after="80"/>
      </w:pPr>
    </w:p>
    <w:p w14:paraId="10000030" w14:textId="77777777" w:rsidR="003379EA" w:rsidRDefault="008F6B08">
      <w:pPr>
        <w:spacing w:before="120" w:after="80"/>
      </w:pPr>
      <w:r>
        <w:rPr>
          <w:b/>
          <w:bCs/>
          <w:sz w:val="24"/>
          <w:szCs w:val="24"/>
        </w:rPr>
        <w:t>Lessons from Guinea: Communication in Public Health</w:t>
      </w:r>
    </w:p>
    <w:p w14:paraId="10000031" w14:textId="77777777" w:rsidR="003379EA" w:rsidRDefault="008F6B08">
      <w:pPr>
        <w:spacing w:after="80"/>
        <w:ind w:left="360" w:hanging="360"/>
      </w:pPr>
      <w:r>
        <w:rPr>
          <w:sz w:val="24"/>
          <w:szCs w:val="24"/>
        </w:rPr>
        <w:t>•  Accuracy is necessary but not sufficient. A message that is true but produces the wrong behavior is a failed message. The test is not “Is this accurate?” but “Does this produce the right action?”</w:t>
      </w:r>
    </w:p>
    <w:p w14:paraId="10000032" w14:textId="473AA433" w:rsidR="003379EA" w:rsidRDefault="008F6B08">
      <w:pPr>
        <w:spacing w:after="80"/>
        <w:ind w:left="360" w:hanging="360"/>
      </w:pPr>
      <w:r>
        <w:rPr>
          <w:sz w:val="24"/>
          <w:szCs w:val="24"/>
        </w:rPr>
        <w:t>•  Effective messages are simple, true, and</w:t>
      </w:r>
      <w:r w:rsidR="000E19B4">
        <w:rPr>
          <w:sz w:val="24"/>
          <w:szCs w:val="24"/>
        </w:rPr>
        <w:t xml:space="preserve"> enable</w:t>
      </w:r>
      <w:r>
        <w:rPr>
          <w:sz w:val="24"/>
          <w:szCs w:val="24"/>
        </w:rPr>
        <w:t xml:space="preserve"> action. “Ebola is real” met all three criteria. It did not try to explain the virus, describe the treatment, or assign blame. It stated a fact that opened a door to cooperation.</w:t>
      </w:r>
    </w:p>
    <w:p w14:paraId="10000033" w14:textId="77777777" w:rsidR="003379EA" w:rsidRDefault="008F6B08">
      <w:pPr>
        <w:spacing w:after="80"/>
        <w:ind w:left="360" w:hanging="360"/>
      </w:pPr>
      <w:r>
        <w:rPr>
          <w:sz w:val="24"/>
          <w:szCs w:val="24"/>
        </w:rPr>
        <w:t>•  The messenger is the message. Credibility comes from proximity to the experience of the audience—not from institutional authority. Health systems that rely only on official spokespeople will fail to reach communities that do not trust officials.</w:t>
      </w:r>
    </w:p>
    <w:p w14:paraId="10000034" w14:textId="77777777" w:rsidR="003379EA" w:rsidRDefault="008F6B08">
      <w:pPr>
        <w:spacing w:after="80"/>
        <w:ind w:left="360" w:hanging="360"/>
      </w:pPr>
      <w:r>
        <w:rPr>
          <w:sz w:val="24"/>
          <w:szCs w:val="24"/>
        </w:rPr>
        <w:t>•  Trusted messengers can be systematically supported. Hall was recruited for a national campaign; Nwigwe was hired into a program that gave him autonomy. Both required institutional investment, not just individual initiative.</w:t>
      </w:r>
    </w:p>
    <w:p w14:paraId="10000035" w14:textId="77777777" w:rsidR="003379EA" w:rsidRDefault="008F6B08">
      <w:pPr>
        <w:spacing w:after="80"/>
        <w:ind w:left="360" w:hanging="360"/>
      </w:pPr>
      <w:r>
        <w:rPr>
          <w:sz w:val="24"/>
          <w:szCs w:val="24"/>
        </w:rPr>
        <w:t>•  Perceptions change; communication strategy must change with them. A message calibrated to one phase of an epidemic is obsolete in the next. Tracking audience perceptions requires the same discipline and speed as tracking epidemiological data.</w:t>
      </w:r>
    </w:p>
    <w:p w14:paraId="10000036" w14:textId="77777777" w:rsidR="003379EA" w:rsidRDefault="008F6B08">
      <w:pPr>
        <w:spacing w:after="80"/>
        <w:ind w:left="360" w:hanging="360"/>
      </w:pPr>
      <w:r>
        <w:rPr>
          <w:sz w:val="24"/>
          <w:szCs w:val="24"/>
        </w:rPr>
        <w:t>•  Communication is integral to the intervention. Programs that treat communication as a support function—a press release after the real work is done—will fail to reach the communities whose cooperation determines whether the program succeeds.</w:t>
      </w:r>
    </w:p>
    <w:p w14:paraId="10000037" w14:textId="77777777" w:rsidR="003379EA" w:rsidRDefault="008F6B08">
      <w:pPr>
        <w:spacing w:after="160"/>
        <w:ind w:left="360" w:hanging="360"/>
      </w:pPr>
      <w:r>
        <w:rPr>
          <w:sz w:val="24"/>
          <w:szCs w:val="24"/>
        </w:rPr>
        <w:t>•  Trust must be built before it is needed. Dr. Gueye’s observation—that communities saw CDC teams as doctors who never treated a patient—reflects a trust deficit that no message can repair quickly. Trust is earned through sustained presence and service delivery, not through messaging alone.</w:t>
      </w:r>
    </w:p>
    <w:p w14:paraId="10000038" w14:textId="77777777" w:rsidR="003379EA" w:rsidRDefault="003379EA">
      <w:pPr>
        <w:spacing w:after="80"/>
      </w:pPr>
    </w:p>
    <w:sectPr w:rsidR="003379EA">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EBC7" w14:textId="77777777" w:rsidR="008F6B08" w:rsidRDefault="008F6B08">
      <w:r>
        <w:separator/>
      </w:r>
    </w:p>
  </w:endnote>
  <w:endnote w:type="continuationSeparator" w:id="0">
    <w:p w14:paraId="5BE8080F" w14:textId="77777777" w:rsidR="008F6B08" w:rsidRDefault="008F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2E91" w14:textId="3751FA27" w:rsidR="003379EA" w:rsidRPr="009E6C53" w:rsidRDefault="008F6B08" w:rsidP="009E6C53">
    <w:pPr>
      <w:jc w:val="center"/>
      <w:rPr>
        <w:color w:val="888888"/>
        <w:sz w:val="18"/>
        <w:szCs w:val="18"/>
      </w:rPr>
    </w:pPr>
    <w:r>
      <w:rPr>
        <w:color w:val="888888"/>
        <w:sz w:val="18"/>
        <w:szCs w:val="18"/>
      </w:rPr>
      <w:t xml:space="preserve">The Formula for Better Health  ·  MIT Press, 2025  ·  </w:t>
    </w:r>
    <w:r w:rsidR="009E6C53" w:rsidRPr="009E6C53">
      <w:rPr>
        <w:color w:val="888888"/>
        <w:sz w:val="18"/>
        <w:szCs w:val="18"/>
      </w:rPr>
      <w:t>theformulaforbetterhealth.net/</w:t>
    </w:r>
    <w:r w:rsidR="009E6C53" w:rsidRPr="009E6C53">
      <w:rPr>
        <w:color w:val="888888"/>
        <w:sz w:val="18"/>
        <w:szCs w:val="18"/>
      </w:rPr>
      <w:t xml:space="preserve">formulateaching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899B" w14:textId="77777777" w:rsidR="008F6B08" w:rsidRDefault="008F6B08">
      <w:r>
        <w:separator/>
      </w:r>
    </w:p>
  </w:footnote>
  <w:footnote w:type="continuationSeparator" w:id="0">
    <w:p w14:paraId="13A5D6ED" w14:textId="77777777" w:rsidR="008F6B08" w:rsidRDefault="008F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054DF"/>
    <w:multiLevelType w:val="hybridMultilevel"/>
    <w:tmpl w:val="68A28E14"/>
    <w:lvl w:ilvl="0" w:tplc="34F647BC">
      <w:start w:val="1"/>
      <w:numFmt w:val="bullet"/>
      <w:lvlText w:val="●"/>
      <w:lvlJc w:val="left"/>
      <w:pPr>
        <w:ind w:left="720" w:hanging="360"/>
      </w:pPr>
    </w:lvl>
    <w:lvl w:ilvl="1" w:tplc="541AD868">
      <w:start w:val="1"/>
      <w:numFmt w:val="bullet"/>
      <w:lvlText w:val="○"/>
      <w:lvlJc w:val="left"/>
      <w:pPr>
        <w:ind w:left="1440" w:hanging="360"/>
      </w:pPr>
    </w:lvl>
    <w:lvl w:ilvl="2" w:tplc="CA5A81A6">
      <w:start w:val="1"/>
      <w:numFmt w:val="bullet"/>
      <w:lvlText w:val="■"/>
      <w:lvlJc w:val="left"/>
      <w:pPr>
        <w:ind w:left="2160" w:hanging="360"/>
      </w:pPr>
    </w:lvl>
    <w:lvl w:ilvl="3" w:tplc="467EBBA6">
      <w:start w:val="1"/>
      <w:numFmt w:val="bullet"/>
      <w:lvlText w:val="●"/>
      <w:lvlJc w:val="left"/>
      <w:pPr>
        <w:ind w:left="2880" w:hanging="360"/>
      </w:pPr>
    </w:lvl>
    <w:lvl w:ilvl="4" w:tplc="6A829808">
      <w:start w:val="1"/>
      <w:numFmt w:val="bullet"/>
      <w:lvlText w:val="○"/>
      <w:lvlJc w:val="left"/>
      <w:pPr>
        <w:ind w:left="3600" w:hanging="360"/>
      </w:pPr>
    </w:lvl>
    <w:lvl w:ilvl="5" w:tplc="E384FE24">
      <w:start w:val="1"/>
      <w:numFmt w:val="bullet"/>
      <w:lvlText w:val="■"/>
      <w:lvlJc w:val="left"/>
      <w:pPr>
        <w:ind w:left="4320" w:hanging="360"/>
      </w:pPr>
    </w:lvl>
    <w:lvl w:ilvl="6" w:tplc="54B4D7E4">
      <w:start w:val="1"/>
      <w:numFmt w:val="bullet"/>
      <w:lvlText w:val="●"/>
      <w:lvlJc w:val="left"/>
      <w:pPr>
        <w:ind w:left="5040" w:hanging="360"/>
      </w:pPr>
    </w:lvl>
    <w:lvl w:ilvl="7" w:tplc="EF1EDD1A">
      <w:start w:val="1"/>
      <w:numFmt w:val="bullet"/>
      <w:lvlText w:val="●"/>
      <w:lvlJc w:val="left"/>
      <w:pPr>
        <w:ind w:left="5760" w:hanging="360"/>
      </w:pPr>
    </w:lvl>
    <w:lvl w:ilvl="8" w:tplc="EAAC77B6">
      <w:start w:val="1"/>
      <w:numFmt w:val="bullet"/>
      <w:lvlText w:val="●"/>
      <w:lvlJc w:val="left"/>
      <w:pPr>
        <w:ind w:left="6480" w:hanging="360"/>
      </w:pPr>
    </w:lvl>
  </w:abstractNum>
  <w:num w:numId="1" w16cid:durableId="116903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EA"/>
    <w:rsid w:val="00021217"/>
    <w:rsid w:val="00053A66"/>
    <w:rsid w:val="000A300E"/>
    <w:rsid w:val="000D28B5"/>
    <w:rsid w:val="000E19B4"/>
    <w:rsid w:val="003379EA"/>
    <w:rsid w:val="00551A78"/>
    <w:rsid w:val="007B3B16"/>
    <w:rsid w:val="008F6B08"/>
    <w:rsid w:val="00957C8C"/>
    <w:rsid w:val="009E6C53"/>
    <w:rsid w:val="00B466FB"/>
    <w:rsid w:val="00C3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500EF"/>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E6C53"/>
    <w:pPr>
      <w:tabs>
        <w:tab w:val="center" w:pos="4680"/>
        <w:tab w:val="right" w:pos="9360"/>
      </w:tabs>
    </w:pPr>
  </w:style>
  <w:style w:type="character" w:customStyle="1" w:styleId="HeaderChar">
    <w:name w:val="Header Char"/>
    <w:basedOn w:val="DefaultParagraphFont"/>
    <w:link w:val="Header"/>
    <w:uiPriority w:val="99"/>
    <w:rsid w:val="009E6C53"/>
  </w:style>
  <w:style w:type="paragraph" w:styleId="Footer">
    <w:name w:val="footer"/>
    <w:basedOn w:val="Normal"/>
    <w:link w:val="FooterChar"/>
    <w:uiPriority w:val="99"/>
    <w:unhideWhenUsed/>
    <w:rsid w:val="009E6C53"/>
    <w:pPr>
      <w:tabs>
        <w:tab w:val="center" w:pos="4680"/>
        <w:tab w:val="right" w:pos="9360"/>
      </w:tabs>
    </w:pPr>
  </w:style>
  <w:style w:type="character" w:customStyle="1" w:styleId="FooterChar">
    <w:name w:val="Footer Char"/>
    <w:basedOn w:val="DefaultParagraphFont"/>
    <w:link w:val="Footer"/>
    <w:uiPriority w:val="99"/>
    <w:rsid w:val="009E6C53"/>
  </w:style>
  <w:style w:type="paragraph" w:styleId="NormalWeb">
    <w:name w:val="Normal (Web)"/>
    <w:basedOn w:val="Normal"/>
    <w:uiPriority w:val="99"/>
    <w:semiHidden/>
    <w:unhideWhenUsed/>
    <w:rsid w:val="009E6C5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1901E-98D8-4C42-B723-5B5B5E90A01A}">
  <ds:schemaRefs>
    <ds:schemaRef ds:uri="http://schemas.microsoft.com/sharepoint/v3/contenttype/forms"/>
  </ds:schemaRefs>
</ds:datastoreItem>
</file>

<file path=customXml/itemProps2.xml><?xml version="1.0" encoding="utf-8"?>
<ds:datastoreItem xmlns:ds="http://schemas.openxmlformats.org/officeDocument/2006/customXml" ds:itemID="{5D5558CD-7FD1-40A6-8485-03CC87D5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2BBF8-4CCC-4679-BADE-69DE055C816E}">
  <ds:schemaRefs>
    <ds:schemaRef ds:uri="http://schemas.microsoft.com/office/2006/metadata/properties"/>
    <ds:schemaRef ds:uri="http://schemas.microsoft.com/office/infopath/2007/PartnerControls"/>
    <ds:schemaRef ds:uri="89c6c834-5500-4d34-8d4a-2e90563177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1668</Words>
  <Characters>9286</Characters>
  <Application>Microsoft Office Word</Application>
  <DocSecurity>0</DocSecurity>
  <Lines>147</Lines>
  <Paragraphs>62</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4</cp:revision>
  <dcterms:created xsi:type="dcterms:W3CDTF">2026-03-16T20:44:00Z</dcterms:created>
  <dcterms:modified xsi:type="dcterms:W3CDTF">2026-03-16T20:59:00Z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2026-03-07T19:43:08Z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dd34e8d0-0ae8-4390-97a7-0f434d766358</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