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FBF1C" w14:textId="77777777" w:rsidR="00DC4D81" w:rsidRDefault="00DC4D81">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6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6500"/>
        <w:gridCol w:w="2860"/>
      </w:tblGrid>
      <w:tr w:rsidR="00DC4D81" w14:paraId="4E63206B" w14:textId="77777777">
        <w:tc>
          <w:tcPr>
            <w:tcW w:w="6500" w:type="dxa"/>
            <w:tcBorders>
              <w:top w:val="nil"/>
              <w:left w:val="nil"/>
              <w:bottom w:val="nil"/>
              <w:right w:val="nil"/>
            </w:tcBorders>
            <w:shd w:val="clear" w:color="auto" w:fill="008B8B"/>
            <w:tcMar>
              <w:top w:w="80" w:type="dxa"/>
              <w:left w:w="160" w:type="dxa"/>
              <w:bottom w:w="80" w:type="dxa"/>
              <w:right w:w="80" w:type="dxa"/>
            </w:tcMar>
          </w:tcPr>
          <w:p w14:paraId="6A13724E" w14:textId="77777777" w:rsidR="00DC4D81" w:rsidRDefault="00CB1E2F">
            <w:r>
              <w:rPr>
                <w:rFonts w:ascii="Arial" w:eastAsia="Arial" w:hAnsi="Arial" w:cs="Arial"/>
                <w:b/>
                <w:bCs/>
                <w:color w:val="FFFFFF"/>
                <w:sz w:val="16"/>
                <w:szCs w:val="16"/>
              </w:rPr>
              <w:t xml:space="preserve">THE FORMULA FOR BETTER </w:t>
            </w:r>
            <w:proofErr w:type="gramStart"/>
            <w:r>
              <w:rPr>
                <w:rFonts w:ascii="Arial" w:eastAsia="Arial" w:hAnsi="Arial" w:cs="Arial"/>
                <w:b/>
                <w:bCs/>
                <w:color w:val="FFFFFF"/>
                <w:sz w:val="16"/>
                <w:szCs w:val="16"/>
              </w:rPr>
              <w:t>HEALTH  ·</w:t>
            </w:r>
            <w:proofErr w:type="gramEnd"/>
            <w:r>
              <w:rPr>
                <w:rFonts w:ascii="Arial" w:eastAsia="Arial" w:hAnsi="Arial" w:cs="Arial"/>
                <w:b/>
                <w:bCs/>
                <w:color w:val="FFFFFF"/>
                <w:sz w:val="16"/>
                <w:szCs w:val="16"/>
              </w:rPr>
              <w:t xml:space="preserve">  CASE STUDY: SEE/BELIEVE/CREATE</w:t>
            </w:r>
          </w:p>
        </w:tc>
        <w:tc>
          <w:tcPr>
            <w:tcW w:w="2860" w:type="dxa"/>
            <w:tcBorders>
              <w:top w:val="nil"/>
              <w:left w:val="nil"/>
              <w:bottom w:val="nil"/>
              <w:right w:val="nil"/>
            </w:tcBorders>
            <w:shd w:val="clear" w:color="auto" w:fill="CCCCCC"/>
            <w:tcMar>
              <w:top w:w="80" w:type="dxa"/>
              <w:left w:w="80" w:type="dxa"/>
              <w:bottom w:w="80" w:type="dxa"/>
              <w:right w:w="160" w:type="dxa"/>
            </w:tcMar>
            <w:vAlign w:val="center"/>
          </w:tcPr>
          <w:p w14:paraId="07151213" w14:textId="77777777" w:rsidR="00DC4D81" w:rsidRDefault="00CB1E2F">
            <w:pPr>
              <w:jc w:val="center"/>
            </w:pPr>
            <w:r>
              <w:rPr>
                <w:rFonts w:ascii="Arial" w:eastAsia="Arial" w:hAnsi="Arial" w:cs="Arial"/>
                <w:b/>
                <w:bCs/>
                <w:color w:val="444444"/>
                <w:sz w:val="16"/>
                <w:szCs w:val="16"/>
              </w:rPr>
              <w:t>STUDENT HANDOUT</w:t>
            </w:r>
          </w:p>
        </w:tc>
      </w:tr>
    </w:tbl>
    <w:p w14:paraId="4BDF8794" w14:textId="77777777" w:rsidR="00DC4D81" w:rsidRDefault="00CB1E2F">
      <w:pPr>
        <w:spacing w:before="200" w:after="60"/>
      </w:pPr>
      <w:r>
        <w:rPr>
          <w:b/>
          <w:bCs/>
          <w:sz w:val="36"/>
          <w:szCs w:val="36"/>
        </w:rPr>
        <w:t>Ebola in Guinea: Mandates, Trust, and the Limits of Legal Authority</w:t>
      </w:r>
    </w:p>
    <w:p w14:paraId="59612962" w14:textId="77777777" w:rsidR="00DC4D81" w:rsidRDefault="00DC4D81">
      <w:pPr>
        <w:pBdr>
          <w:bottom w:val="single" w:sz="4" w:space="0" w:color="008B8B"/>
        </w:pBdr>
      </w:pPr>
    </w:p>
    <w:p w14:paraId="7F7D6EA9" w14:textId="77777777" w:rsidR="00DC4D81" w:rsidRDefault="00CB1E2F">
      <w:pPr>
        <w:spacing w:before="240" w:after="80"/>
      </w:pPr>
      <w:r>
        <w:rPr>
          <w:b/>
          <w:bCs/>
          <w:smallCaps/>
          <w:color w:val="444444"/>
        </w:rPr>
        <w:t>REQUIRED READING</w:t>
      </w:r>
    </w:p>
    <w:p w14:paraId="0A0B5657" w14:textId="77777777" w:rsidR="00DC4D81" w:rsidRDefault="00CB1E2F">
      <w:pPr>
        <w:spacing w:after="160"/>
      </w:pPr>
      <w:r>
        <w:rPr>
          <w:sz w:val="24"/>
          <w:szCs w:val="24"/>
        </w:rPr>
        <w:t xml:space="preserve">Frieden, Thomas R. </w:t>
      </w:r>
      <w:r>
        <w:rPr>
          <w:i/>
          <w:iCs/>
          <w:sz w:val="24"/>
          <w:szCs w:val="24"/>
        </w:rPr>
        <w:t>The Formula for Better Health.</w:t>
      </w:r>
      <w:r>
        <w:rPr>
          <w:sz w:val="24"/>
          <w:szCs w:val="24"/>
        </w:rPr>
        <w:t xml:space="preserve"> MIT Press, 2025.</w:t>
      </w:r>
    </w:p>
    <w:p w14:paraId="6FFBEE57" w14:textId="77777777" w:rsidR="00DC4D81" w:rsidRDefault="00CB1E2F">
      <w:pPr>
        <w:spacing w:after="80"/>
      </w:pPr>
      <w:r>
        <w:rPr>
          <w:sz w:val="24"/>
          <w:szCs w:val="24"/>
        </w:rPr>
        <w:t>Chapter 8: Progress Despite Opposition (from “Public Health Law” on, pages 146-157)</w:t>
      </w:r>
    </w:p>
    <w:p w14:paraId="2EF37C4A" w14:textId="77777777" w:rsidR="00DC4D81" w:rsidRDefault="00CB1E2F">
      <w:pPr>
        <w:spacing w:after="120"/>
      </w:pPr>
      <w:r>
        <w:rPr>
          <w:sz w:val="24"/>
          <w:szCs w:val="24"/>
        </w:rPr>
        <w:t>Chapter 1: See the Invisible (Ebola section, pages 6–8)</w:t>
      </w:r>
    </w:p>
    <w:p w14:paraId="4DF3DFF3" w14:textId="77777777" w:rsidR="00DC4D81" w:rsidRDefault="00CB1E2F">
      <w:pPr>
        <w:spacing w:after="80"/>
      </w:pPr>
      <w:r>
        <w:rPr>
          <w:i/>
          <w:iCs/>
          <w:sz w:val="24"/>
          <w:szCs w:val="24"/>
        </w:rPr>
        <w:t>Optional</w:t>
      </w:r>
    </w:p>
    <w:p w14:paraId="1FE3488B" w14:textId="77777777" w:rsidR="00DC4D81" w:rsidRDefault="00CB1E2F">
      <w:pPr>
        <w:spacing w:after="120"/>
      </w:pPr>
      <w:r>
        <w:rPr>
          <w:sz w:val="24"/>
          <w:szCs w:val="24"/>
        </w:rPr>
        <w:t>Chapter 7: Communication (for context on how messaging interacts with enforcement)</w:t>
      </w:r>
    </w:p>
    <w:p w14:paraId="6D62B91C" w14:textId="77777777" w:rsidR="00DC4D81" w:rsidRDefault="00CB1E2F">
      <w:pPr>
        <w:spacing w:before="240" w:after="80"/>
      </w:pPr>
      <w:r>
        <w:rPr>
          <w:b/>
          <w:bCs/>
          <w:smallCaps/>
          <w:color w:val="444444"/>
        </w:rPr>
        <w:t>PREPARATION QUESTION</w:t>
      </w:r>
    </w:p>
    <w:p w14:paraId="7F646559" w14:textId="77777777" w:rsidR="00DC4D81" w:rsidRDefault="00CB1E2F">
      <w:pPr>
        <w:spacing w:after="200"/>
      </w:pPr>
      <w:r>
        <w:rPr>
          <w:sz w:val="24"/>
          <w:szCs w:val="24"/>
        </w:rPr>
        <w:t>Before class, write two to three sentences in response to: Guinea tracked community movement during Ebola outbreaks. Sierra Leone posted police outside the homes of contacts. Both used state authority. Why did one approach help contain the epidemic while the other prolonged it?</w:t>
      </w:r>
    </w:p>
    <w:p w14:paraId="4991030A" w14:textId="77777777" w:rsidR="00DC4D81" w:rsidRDefault="00DC4D81">
      <w:pPr>
        <w:pBdr>
          <w:bottom w:val="single" w:sz="4" w:space="0" w:color="008B8B"/>
        </w:pBdr>
      </w:pPr>
    </w:p>
    <w:p w14:paraId="5B2E6C46" w14:textId="77777777" w:rsidR="00DC4D81" w:rsidRDefault="00CB1E2F">
      <w:pPr>
        <w:spacing w:before="200" w:after="80"/>
      </w:pPr>
      <w:r>
        <w:rPr>
          <w:b/>
          <w:bCs/>
          <w:sz w:val="28"/>
          <w:szCs w:val="28"/>
        </w:rPr>
        <w:t>The Case</w:t>
      </w:r>
    </w:p>
    <w:p w14:paraId="1EFCAAE0" w14:textId="77777777" w:rsidR="00DC4D81" w:rsidRDefault="00CB1E2F">
      <w:pPr>
        <w:spacing w:after="160"/>
      </w:pPr>
      <w:r>
        <w:rPr>
          <w:sz w:val="24"/>
          <w:szCs w:val="24"/>
        </w:rPr>
        <w:t xml:space="preserve">In 2014, as Ebola spread through Guinea’s rural villages, President Alpha Condé faced a choice: use the state’s legal authority to compel </w:t>
      </w:r>
      <w:proofErr w:type="gramStart"/>
      <w:r>
        <w:rPr>
          <w:sz w:val="24"/>
          <w:szCs w:val="24"/>
        </w:rPr>
        <w:t>compliance, or</w:t>
      </w:r>
      <w:proofErr w:type="gramEnd"/>
      <w:r>
        <w:rPr>
          <w:sz w:val="24"/>
          <w:szCs w:val="24"/>
        </w:rPr>
        <w:t xml:space="preserve"> build voluntary cooperation through services and trust. His initial instinct was to force communities to close—to prevent exposed contacts from traveling and seeding new clusters. It was a reasonable response from a leader watching his country suffer.</w:t>
      </w:r>
    </w:p>
    <w:p w14:paraId="5E340700" w14:textId="77777777" w:rsidR="00DC4D81" w:rsidRDefault="00CB1E2F">
      <w:pPr>
        <w:spacing w:after="160"/>
      </w:pPr>
      <w:r>
        <w:rPr>
          <w:sz w:val="24"/>
          <w:szCs w:val="24"/>
        </w:rPr>
        <w:t xml:space="preserve">Thomas Frieden, then CDC Director, urged a different approach. “There’s a saying,” Frieden told President Condé, </w:t>
      </w:r>
      <w:proofErr w:type="gramStart"/>
      <w:r>
        <w:rPr>
          <w:sz w:val="24"/>
          <w:szCs w:val="24"/>
        </w:rPr>
        <w:t>“that</w:t>
      </w:r>
      <w:proofErr w:type="gramEnd"/>
      <w:r>
        <w:rPr>
          <w:sz w:val="24"/>
          <w:szCs w:val="24"/>
        </w:rPr>
        <w:t xml:space="preserve"> you catch more flies with honey than with vinegar.” Condé replied immediately: “Yes, but the honey has to get there before the flies leave!”</w:t>
      </w:r>
    </w:p>
    <w:p w14:paraId="0CFD6A9D" w14:textId="77777777" w:rsidR="00DC4D81" w:rsidRDefault="00CB1E2F">
      <w:pPr>
        <w:spacing w:after="160"/>
      </w:pPr>
      <w:r>
        <w:rPr>
          <w:sz w:val="24"/>
          <w:szCs w:val="24"/>
        </w:rPr>
        <w:t>Legal authority can restrict movement, but it cannot stop an epidemic if communities hide sick relatives, refuse to name contacts, and distrust the teams sent to help them. Trust is not a soft supplement to effective outbreak response. In fast-moving epidemics, it is a prerequisite.</w:t>
      </w:r>
    </w:p>
    <w:p w14:paraId="70EFB3D1" w14:textId="77777777" w:rsidR="00DC4D81" w:rsidRDefault="00CB1E2F">
      <w:pPr>
        <w:spacing w:after="160"/>
      </w:pPr>
      <w:r>
        <w:rPr>
          <w:sz w:val="24"/>
          <w:szCs w:val="24"/>
        </w:rPr>
        <w:t xml:space="preserve">CDC teams had been in Guinea for eighteen months. They had focused, appropriately, on infection control, contact tracing, and stopping transmission. What they had not done was treat patients. Communities noticed. Dr. Abdou Salam Gueye, a Senegalese epidemiologist with deep regional knowledge who CDC deployed to Guinea, reported what people in communities were saying: “You say you’re doctors, but you’ve been here for eighteen </w:t>
      </w:r>
      <w:proofErr w:type="gramStart"/>
      <w:r>
        <w:rPr>
          <w:sz w:val="24"/>
          <w:szCs w:val="24"/>
        </w:rPr>
        <w:t>months</w:t>
      </w:r>
      <w:proofErr w:type="gramEnd"/>
      <w:r>
        <w:rPr>
          <w:sz w:val="24"/>
          <w:szCs w:val="24"/>
        </w:rPr>
        <w:t xml:space="preserve"> and you haven’t treated a single patient.” </w:t>
      </w:r>
    </w:p>
    <w:p w14:paraId="36D24E44" w14:textId="77777777" w:rsidR="00DC4D81" w:rsidRDefault="00CB1E2F">
      <w:pPr>
        <w:spacing w:before="160" w:after="80"/>
      </w:pPr>
      <w:proofErr w:type="spellStart"/>
      <w:r>
        <w:rPr>
          <w:b/>
          <w:bCs/>
          <w:sz w:val="24"/>
          <w:szCs w:val="24"/>
        </w:rPr>
        <w:t>Microcerclage</w:t>
      </w:r>
      <w:proofErr w:type="spellEnd"/>
      <w:r>
        <w:rPr>
          <w:b/>
          <w:bCs/>
          <w:sz w:val="24"/>
          <w:szCs w:val="24"/>
        </w:rPr>
        <w:t>: Restriction Plus Support</w:t>
      </w:r>
    </w:p>
    <w:p w14:paraId="3D114B6A" w14:textId="77777777" w:rsidR="00DC4D81" w:rsidRDefault="00CB1E2F">
      <w:pPr>
        <w:spacing w:after="160"/>
        <w:rPr>
          <w:sz w:val="24"/>
          <w:szCs w:val="24"/>
        </w:rPr>
      </w:pPr>
      <w:r>
        <w:rPr>
          <w:sz w:val="24"/>
          <w:szCs w:val="24"/>
        </w:rPr>
        <w:t xml:space="preserve">Facing continued outbreaks in rural villages, Guinea’s public health leaders developed a new strategy in June 2015: </w:t>
      </w:r>
      <w:proofErr w:type="spellStart"/>
      <w:r>
        <w:rPr>
          <w:i/>
          <w:iCs/>
          <w:sz w:val="24"/>
          <w:szCs w:val="24"/>
        </w:rPr>
        <w:t>microcerclage</w:t>
      </w:r>
      <w:proofErr w:type="spellEnd"/>
      <w:r>
        <w:rPr>
          <w:sz w:val="24"/>
          <w:szCs w:val="24"/>
        </w:rPr>
        <w:t xml:space="preserve">, or </w:t>
      </w:r>
      <w:proofErr w:type="spellStart"/>
      <w:r>
        <w:rPr>
          <w:sz w:val="24"/>
          <w:szCs w:val="24"/>
        </w:rPr>
        <w:t>microencirclement</w:t>
      </w:r>
      <w:proofErr w:type="spellEnd"/>
      <w:r>
        <w:rPr>
          <w:sz w:val="24"/>
          <w:szCs w:val="24"/>
        </w:rPr>
        <w:t>. When a community reported an Ebola case, authorities restricted movement—but did not prohibit it. People could leave if they provided their phone number, destination, and expected return time, enabling contact tracers to find them if needed. The government provided comprehensive support: doctors and nurses for childhood vaccinations and other primary care, food, antimalarial bed nets, soap, and rapid medical evaluation for anyone who developed symptoms.</w:t>
      </w:r>
    </w:p>
    <w:p w14:paraId="58C7AEC9" w14:textId="6AB96433" w:rsidR="006346BE" w:rsidRDefault="006346BE" w:rsidP="006346BE">
      <w:pPr>
        <w:tabs>
          <w:tab w:val="left" w:pos="7355"/>
        </w:tabs>
        <w:rPr>
          <w:sz w:val="24"/>
          <w:szCs w:val="24"/>
        </w:rPr>
      </w:pPr>
      <w:r>
        <w:rPr>
          <w:sz w:val="24"/>
          <w:szCs w:val="24"/>
        </w:rPr>
        <w:tab/>
      </w:r>
    </w:p>
    <w:p w14:paraId="4C5EC506" w14:textId="77777777" w:rsidR="006346BE" w:rsidRPr="006346BE" w:rsidRDefault="006346BE" w:rsidP="006346BE"/>
    <w:p w14:paraId="5B86EAA3" w14:textId="77777777" w:rsidR="00DC4D81" w:rsidRDefault="00CB1E2F">
      <w:pPr>
        <w:spacing w:after="160"/>
      </w:pPr>
      <w:r>
        <w:rPr>
          <w:sz w:val="24"/>
          <w:szCs w:val="24"/>
        </w:rPr>
        <w:t xml:space="preserve">Nearby communities without any Ebola cases asked whether they, too, could undergo </w:t>
      </w:r>
      <w:proofErr w:type="spellStart"/>
      <w:r>
        <w:rPr>
          <w:sz w:val="24"/>
          <w:szCs w:val="24"/>
        </w:rPr>
        <w:t>microcerclage</w:t>
      </w:r>
      <w:proofErr w:type="spellEnd"/>
      <w:r>
        <w:rPr>
          <w:sz w:val="24"/>
          <w:szCs w:val="24"/>
        </w:rPr>
        <w:t>. An enforcement mechanism had become a sought-after service. The approach transformed the relationship between the state and the community from one of control to one of mutual obligation.</w:t>
      </w:r>
    </w:p>
    <w:p w14:paraId="61E453D7" w14:textId="77777777" w:rsidR="00DC4D81" w:rsidRDefault="00CB1E2F">
      <w:pPr>
        <w:spacing w:before="160" w:after="80"/>
      </w:pPr>
      <w:r>
        <w:rPr>
          <w:b/>
          <w:bCs/>
          <w:sz w:val="24"/>
          <w:szCs w:val="24"/>
        </w:rPr>
        <w:t>Sierra Leone: A Contrasting Approach</w:t>
      </w:r>
    </w:p>
    <w:p w14:paraId="0F715D23" w14:textId="6AACEBDA" w:rsidR="00DC4D81" w:rsidRDefault="00CB1E2F">
      <w:pPr>
        <w:spacing w:after="160"/>
      </w:pPr>
      <w:r>
        <w:rPr>
          <w:sz w:val="24"/>
          <w:szCs w:val="24"/>
        </w:rPr>
        <w:t xml:space="preserve">Throughout the same epidemic, Sierra Leone pursued a different strategy. Police were posted outside the homes of named contacts of Ebola cases. Contacts </w:t>
      </w:r>
      <w:r>
        <w:rPr>
          <w:sz w:val="24"/>
          <w:szCs w:val="24"/>
        </w:rPr>
        <w:t xml:space="preserve">who relied on agriculture for a living </w:t>
      </w:r>
      <w:r>
        <w:rPr>
          <w:sz w:val="24"/>
          <w:szCs w:val="24"/>
        </w:rPr>
        <w:t xml:space="preserve">could not tend their fields; planting season came and went, and families faced a year of food insecurity. Stigma </w:t>
      </w:r>
      <w:r>
        <w:rPr>
          <w:sz w:val="24"/>
          <w:szCs w:val="24"/>
        </w:rPr>
        <w:t xml:space="preserve">was </w:t>
      </w:r>
      <w:r>
        <w:rPr>
          <w:sz w:val="24"/>
          <w:szCs w:val="24"/>
        </w:rPr>
        <w:t>attached to anyone identified as a contact. Bribes became a way for contacts to leave their homes. Patients stopped naming contacts to protect their families from hardship. Trust in government collapsed. The result: Sierra Leone’s epidemic continued for many months longer than it might have with a different approach.</w:t>
      </w:r>
    </w:p>
    <w:p w14:paraId="0B0ECF20" w14:textId="77777777" w:rsidR="00DC4D81" w:rsidRDefault="00CB1E2F">
      <w:pPr>
        <w:spacing w:after="160"/>
      </w:pPr>
      <w:r>
        <w:rPr>
          <w:sz w:val="24"/>
          <w:szCs w:val="24"/>
        </w:rPr>
        <w:t xml:space="preserve">The contrast between Guinea’s </w:t>
      </w:r>
      <w:proofErr w:type="spellStart"/>
      <w:r>
        <w:rPr>
          <w:sz w:val="24"/>
          <w:szCs w:val="24"/>
        </w:rPr>
        <w:t>microcerclage</w:t>
      </w:r>
      <w:proofErr w:type="spellEnd"/>
      <w:r>
        <w:rPr>
          <w:sz w:val="24"/>
          <w:szCs w:val="24"/>
        </w:rPr>
        <w:t xml:space="preserve"> and Sierra Leone’s police enforcement is a natural experiment within the same epidemic. Same virus. Same regional context. Same formal authority of the state. Different instruments—and dramatically different outcomes.</w:t>
      </w:r>
    </w:p>
    <w:p w14:paraId="522CB612" w14:textId="77777777" w:rsidR="00DC4D81" w:rsidRDefault="00CB1E2F">
      <w:pPr>
        <w:spacing w:before="160" w:after="80"/>
      </w:pPr>
      <w:r>
        <w:rPr>
          <w:b/>
          <w:bCs/>
          <w:sz w:val="24"/>
          <w:szCs w:val="24"/>
        </w:rPr>
        <w:t>The Lesson About Mandates</w:t>
      </w:r>
    </w:p>
    <w:p w14:paraId="1851BA44" w14:textId="77777777" w:rsidR="00DC4D81" w:rsidRDefault="00CB1E2F">
      <w:pPr>
        <w:spacing w:after="160"/>
      </w:pPr>
      <w:r>
        <w:rPr>
          <w:sz w:val="24"/>
          <w:szCs w:val="24"/>
        </w:rPr>
        <w:t>When restriction is experienced as punishment without support, communities respond rationally: they hide information, avoid contact with authorities, and find pathways around enforcement. The epidemic continues through a different route.</w:t>
      </w:r>
    </w:p>
    <w:p w14:paraId="1263817F" w14:textId="77777777" w:rsidR="00DC4D81" w:rsidRDefault="00CB1E2F">
      <w:pPr>
        <w:spacing w:after="160"/>
      </w:pPr>
      <w:r>
        <w:rPr>
          <w:sz w:val="24"/>
          <w:szCs w:val="24"/>
        </w:rPr>
        <w:t xml:space="preserve">The lesson is not that mandates are never appropriate. They sometimes are. The lesson is that mandates without trust and support can fail. And building trust cannot begin </w:t>
      </w:r>
      <w:proofErr w:type="gramStart"/>
      <w:r>
        <w:rPr>
          <w:sz w:val="24"/>
          <w:szCs w:val="24"/>
        </w:rPr>
        <w:t>at the moment</w:t>
      </w:r>
      <w:proofErr w:type="gramEnd"/>
      <w:r>
        <w:rPr>
          <w:sz w:val="24"/>
          <w:szCs w:val="24"/>
        </w:rPr>
        <w:t xml:space="preserve"> enforcement is needed. It requires sustained investment in community relationships—in services, presence, and accountability—ideally well before any outbreak occurs.</w:t>
      </w:r>
    </w:p>
    <w:p w14:paraId="0E6BA0DC" w14:textId="77777777" w:rsidR="00DC4D81" w:rsidRDefault="00CB1E2F">
      <w:pPr>
        <w:spacing w:after="200"/>
      </w:pPr>
      <w:r>
        <w:rPr>
          <w:sz w:val="24"/>
          <w:szCs w:val="24"/>
        </w:rPr>
        <w:t>President Condé’s reply enunciated a public health principle: the support must arrive before the crisis of trust has already occurred. Once communities have experienced the state as an adversary, no mandate can undo that damage quickly enough to change the trajectory of an outbreak.</w:t>
      </w:r>
    </w:p>
    <w:p w14:paraId="5206C27B" w14:textId="77777777" w:rsidR="00DC4D81" w:rsidRDefault="00DC4D81">
      <w:pPr>
        <w:pBdr>
          <w:bottom w:val="single" w:sz="4" w:space="0" w:color="008B8B"/>
        </w:pBdr>
      </w:pPr>
    </w:p>
    <w:p w14:paraId="685FC91D" w14:textId="77777777" w:rsidR="00DC4D81" w:rsidRDefault="00CB1E2F">
      <w:pPr>
        <w:spacing w:before="240" w:after="80"/>
      </w:pPr>
      <w:r>
        <w:rPr>
          <w:b/>
          <w:bCs/>
          <w:smallCaps/>
          <w:color w:val="444444"/>
        </w:rPr>
        <w:t>DISCUSSION QUESTIONS</w:t>
      </w:r>
    </w:p>
    <w:p w14:paraId="3DB354F9" w14:textId="77777777" w:rsidR="00DC4D81" w:rsidRDefault="00CB1E2F">
      <w:pPr>
        <w:spacing w:before="160" w:after="80"/>
      </w:pPr>
      <w:r>
        <w:rPr>
          <w:b/>
          <w:bCs/>
          <w:sz w:val="24"/>
          <w:szCs w:val="24"/>
        </w:rPr>
        <w:t>1. </w:t>
      </w:r>
      <w:r>
        <w:rPr>
          <w:sz w:val="24"/>
          <w:szCs w:val="24"/>
        </w:rPr>
        <w:t xml:space="preserve"> Under what conditions are mandatory restrictions justified in outbreak response? When do they become counterproductive? </w:t>
      </w:r>
    </w:p>
    <w:p w14:paraId="23CF9C77" w14:textId="77777777" w:rsidR="00DC4D81" w:rsidRDefault="00CB1E2F">
      <w:pPr>
        <w:spacing w:before="160" w:after="80"/>
      </w:pPr>
      <w:r>
        <w:rPr>
          <w:b/>
          <w:bCs/>
          <w:sz w:val="24"/>
          <w:szCs w:val="24"/>
        </w:rPr>
        <w:t>2. </w:t>
      </w:r>
      <w:proofErr w:type="spellStart"/>
      <w:r>
        <w:rPr>
          <w:sz w:val="24"/>
          <w:szCs w:val="24"/>
        </w:rPr>
        <w:t>Microcerclage</w:t>
      </w:r>
      <w:proofErr w:type="spellEnd"/>
      <w:r>
        <w:rPr>
          <w:sz w:val="24"/>
          <w:szCs w:val="24"/>
        </w:rPr>
        <w:t xml:space="preserve"> imposed travel restrictions and delivered services simultaneously. What does this case tell us about the relationship between rights, obligations, and trust in public health law?</w:t>
      </w:r>
    </w:p>
    <w:p w14:paraId="6EB24A0F" w14:textId="77777777" w:rsidR="00DC4D81" w:rsidRDefault="00CB1E2F">
      <w:pPr>
        <w:spacing w:before="160" w:after="80"/>
      </w:pPr>
      <w:r>
        <w:rPr>
          <w:b/>
          <w:bCs/>
          <w:sz w:val="24"/>
          <w:szCs w:val="24"/>
        </w:rPr>
        <w:t>3. </w:t>
      </w:r>
      <w:r>
        <w:rPr>
          <w:sz w:val="24"/>
          <w:szCs w:val="24"/>
        </w:rPr>
        <w:t>Dr. Gueye reported that communities saw CDC teams as doctors who had never treated a patient. What does this tell us about what builds and destroys community trust? How should outbreak responders balance infection control priorities with community-visible service delivery?</w:t>
      </w:r>
    </w:p>
    <w:p w14:paraId="48D01091" w14:textId="77777777" w:rsidR="00DC4D81" w:rsidRDefault="00CB1E2F">
      <w:pPr>
        <w:spacing w:before="200" w:after="80"/>
      </w:pPr>
      <w:r>
        <w:rPr>
          <w:b/>
          <w:bCs/>
          <w:i/>
          <w:iCs/>
          <w:sz w:val="24"/>
          <w:szCs w:val="24"/>
        </w:rPr>
        <w:t>Small-Group Discussion Topics</w:t>
      </w:r>
    </w:p>
    <w:p w14:paraId="711872E6" w14:textId="77777777" w:rsidR="00DC4D81" w:rsidRDefault="00CB1E2F">
      <w:pPr>
        <w:spacing w:before="160" w:after="80"/>
      </w:pPr>
      <w:r>
        <w:rPr>
          <w:b/>
          <w:bCs/>
          <w:sz w:val="24"/>
          <w:szCs w:val="24"/>
        </w:rPr>
        <w:t>1. </w:t>
      </w:r>
      <w:r>
        <w:rPr>
          <w:sz w:val="24"/>
          <w:szCs w:val="24"/>
        </w:rPr>
        <w:t>Your country’s health minister wants to impose mandatory quarantine for household contacts of a novel respiratory virus. Based on the Guinea and Sierra Leone cases, what conditions would need to be met for mandatory quarantine to be effective rather than counterproductive? What legal and operational safeguards would you recommend?</w:t>
      </w:r>
    </w:p>
    <w:p w14:paraId="51FCD4CB" w14:textId="77777777" w:rsidR="00DC4D81" w:rsidRDefault="00CB1E2F">
      <w:pPr>
        <w:spacing w:before="160" w:after="80"/>
      </w:pPr>
      <w:r>
        <w:rPr>
          <w:b/>
          <w:bCs/>
          <w:sz w:val="24"/>
          <w:szCs w:val="24"/>
        </w:rPr>
        <w:t>2. </w:t>
      </w:r>
      <w:r>
        <w:rPr>
          <w:sz w:val="24"/>
          <w:szCs w:val="24"/>
        </w:rPr>
        <w:t xml:space="preserve">President Condé </w:t>
      </w:r>
      <w:proofErr w:type="gramStart"/>
      <w:r>
        <w:rPr>
          <w:sz w:val="24"/>
          <w:szCs w:val="24"/>
        </w:rPr>
        <w:t>said</w:t>
      </w:r>
      <w:proofErr w:type="gramEnd"/>
      <w:r>
        <w:rPr>
          <w:sz w:val="24"/>
          <w:szCs w:val="24"/>
        </w:rPr>
        <w:t xml:space="preserve"> “the honey has to get there before the flies leave.” What does this mean operationally? </w:t>
      </w:r>
    </w:p>
    <w:p w14:paraId="6B7C5785" w14:textId="77777777" w:rsidR="00DC4D81" w:rsidRDefault="00DC4D81">
      <w:pPr>
        <w:spacing w:after="80"/>
      </w:pPr>
    </w:p>
    <w:sectPr w:rsidR="00DC4D81">
      <w:footerReference w:type="default" r:id="rId7"/>
      <w:pgSz w:w="12240" w:h="15840"/>
      <w:pgMar w:top="720" w:right="1080" w:bottom="72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2B7BF" w14:textId="77777777" w:rsidR="00CB1E2F" w:rsidRDefault="00CB1E2F">
      <w:r>
        <w:separator/>
      </w:r>
    </w:p>
  </w:endnote>
  <w:endnote w:type="continuationSeparator" w:id="0">
    <w:p w14:paraId="2FA598D5" w14:textId="77777777" w:rsidR="00CB1E2F" w:rsidRDefault="00CB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A3ECB04-EF2F-DF47-99E3-7E79FACAF795}"/>
    <w:embedBold r:id="rId2" w:fontKey="{44391703-7B30-F64A-A4DC-0F2C652F66DE}"/>
    <w:embedItalic r:id="rId3" w:fontKey="{2174964F-0140-E841-A656-BC1FE732B8E6}"/>
    <w:embedBoldItalic r:id="rId4" w:fontKey="{9A2AD9D4-5DEC-7F49-B2B2-DE50CB4194F8}"/>
  </w:font>
  <w:font w:name="Georgia">
    <w:panose1 w:val="02040502050405020303"/>
    <w:charset w:val="00"/>
    <w:family w:val="roman"/>
    <w:pitch w:val="variable"/>
    <w:sig w:usb0="00000287" w:usb1="00000000" w:usb2="00000000" w:usb3="00000000" w:csb0="0000009F" w:csb1="00000000"/>
    <w:embedItalic r:id="rId5" w:fontKey="{3606D984-A0E2-6E48-8826-924C1EE1C9EC}"/>
  </w:font>
  <w:font w:name="Arial">
    <w:panose1 w:val="020B0604020202020204"/>
    <w:charset w:val="00"/>
    <w:family w:val="swiss"/>
    <w:pitch w:val="variable"/>
    <w:sig w:usb0="E0002EFF" w:usb1="C000785B" w:usb2="00000009" w:usb3="00000000" w:csb0="000001FF" w:csb1="00000000"/>
    <w:embedRegular r:id="rId6" w:fontKey="{38876DCC-C985-DC49-A07D-A732A308C322}"/>
    <w:embedBold r:id="rId7" w:fontKey="{B88A6515-28CD-F14A-AD33-6FC99E48326C}"/>
  </w:font>
  <w:font w:name="Aptos Display">
    <w:panose1 w:val="020B0004020202020204"/>
    <w:charset w:val="00"/>
    <w:family w:val="swiss"/>
    <w:pitch w:val="variable"/>
    <w:sig w:usb0="20000287" w:usb1="00000003" w:usb2="00000000" w:usb3="00000000" w:csb0="0000019F" w:csb1="00000000"/>
    <w:embedRegular r:id="rId8" w:fontKey="{7F1599C0-89B3-4445-8866-F83CBAEC1AE6}"/>
  </w:font>
  <w:font w:name="Aptos">
    <w:panose1 w:val="020B0004020202020204"/>
    <w:charset w:val="00"/>
    <w:family w:val="swiss"/>
    <w:pitch w:val="variable"/>
    <w:sig w:usb0="20000287" w:usb1="00000003" w:usb2="00000000" w:usb3="00000000" w:csb0="0000019F" w:csb1="00000000"/>
    <w:embedRegular r:id="rId9" w:fontKey="{6D172D0B-63F6-4849-837D-0B74885F6A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F217" w14:textId="0CAFD3BF" w:rsidR="00DC4D81" w:rsidRDefault="00CB1E2F">
    <w:pPr>
      <w:jc w:val="center"/>
    </w:pPr>
    <w:r>
      <w:rPr>
        <w:color w:val="888888"/>
        <w:sz w:val="18"/>
        <w:szCs w:val="18"/>
      </w:rPr>
      <w:t xml:space="preserve">The Formula for Better </w:t>
    </w:r>
    <w:proofErr w:type="gramStart"/>
    <w:r>
      <w:rPr>
        <w:color w:val="888888"/>
        <w:sz w:val="18"/>
        <w:szCs w:val="18"/>
      </w:rPr>
      <w:t>Health  ·</w:t>
    </w:r>
    <w:proofErr w:type="gramEnd"/>
    <w:r>
      <w:rPr>
        <w:color w:val="888888"/>
        <w:sz w:val="18"/>
        <w:szCs w:val="18"/>
      </w:rPr>
      <w:t xml:space="preserve">  MIT Press, </w:t>
    </w:r>
    <w:proofErr w:type="gramStart"/>
    <w:r>
      <w:rPr>
        <w:color w:val="888888"/>
        <w:sz w:val="18"/>
        <w:szCs w:val="18"/>
      </w:rPr>
      <w:t>2025  ·</w:t>
    </w:r>
    <w:proofErr w:type="gramEnd"/>
    <w:r>
      <w:rPr>
        <w:color w:val="888888"/>
        <w:sz w:val="18"/>
        <w:szCs w:val="18"/>
      </w:rPr>
      <w:t xml:space="preserve">  </w:t>
    </w:r>
    <w:r w:rsidR="006346BE">
      <w:rPr>
        <w:color w:val="888888"/>
        <w:sz w:val="18"/>
        <w:szCs w:val="18"/>
      </w:rPr>
      <w:t>theformulaforbetterhealth.org/</w:t>
    </w:r>
    <w:proofErr w:type="spellStart"/>
    <w:r w:rsidR="006346BE">
      <w:rPr>
        <w:color w:val="888888"/>
        <w:sz w:val="18"/>
        <w:szCs w:val="18"/>
      </w:rPr>
      <w:t>formulateaching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466EE" w14:textId="77777777" w:rsidR="00CB1E2F" w:rsidRDefault="00CB1E2F">
      <w:r>
        <w:separator/>
      </w:r>
    </w:p>
  </w:footnote>
  <w:footnote w:type="continuationSeparator" w:id="0">
    <w:p w14:paraId="46A1A8F3" w14:textId="77777777" w:rsidR="00CB1E2F" w:rsidRDefault="00CB1E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D81"/>
    <w:rsid w:val="006346BE"/>
    <w:rsid w:val="00957C8C"/>
    <w:rsid w:val="00CB1E2F"/>
    <w:rsid w:val="00DC4D81"/>
    <w:rsid w:val="00F42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08D833"/>
  <w15:docId w15:val="{D1C86734-A699-F646-90E6-F3DAB05B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0" w:type="dxa"/>
        <w:right w:w="10" w:type="dxa"/>
      </w:tblCellMar>
    </w:tblPr>
  </w:style>
  <w:style w:type="paragraph" w:styleId="Header">
    <w:name w:val="header"/>
    <w:basedOn w:val="Normal"/>
    <w:link w:val="HeaderChar"/>
    <w:uiPriority w:val="99"/>
    <w:unhideWhenUsed/>
    <w:rsid w:val="006346BE"/>
    <w:pPr>
      <w:tabs>
        <w:tab w:val="center" w:pos="4680"/>
        <w:tab w:val="right" w:pos="9360"/>
      </w:tabs>
    </w:pPr>
  </w:style>
  <w:style w:type="character" w:customStyle="1" w:styleId="HeaderChar">
    <w:name w:val="Header Char"/>
    <w:basedOn w:val="DefaultParagraphFont"/>
    <w:link w:val="Header"/>
    <w:uiPriority w:val="99"/>
    <w:rsid w:val="006346BE"/>
  </w:style>
  <w:style w:type="paragraph" w:styleId="Footer">
    <w:name w:val="footer"/>
    <w:basedOn w:val="Normal"/>
    <w:link w:val="FooterChar"/>
    <w:uiPriority w:val="99"/>
    <w:unhideWhenUsed/>
    <w:rsid w:val="006346BE"/>
    <w:pPr>
      <w:tabs>
        <w:tab w:val="center" w:pos="4680"/>
        <w:tab w:val="right" w:pos="9360"/>
      </w:tabs>
    </w:pPr>
  </w:style>
  <w:style w:type="character" w:customStyle="1" w:styleId="FooterChar">
    <w:name w:val="Footer Char"/>
    <w:basedOn w:val="DefaultParagraphFont"/>
    <w:link w:val="Footer"/>
    <w:uiPriority w:val="99"/>
    <w:rsid w:val="00634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8kH/tU/z1CYRJNFBuEJq9SeG6g==">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15719744DB93641A8403A60BF24F6D2" ma:contentTypeVersion="15" ma:contentTypeDescription="Create a new document." ma:contentTypeScope="" ma:versionID="5f36845b1f1627a778cdf16d10f379a3">
  <xsd:schema xmlns:xsd="http://www.w3.org/2001/XMLSchema" xmlns:xs="http://www.w3.org/2001/XMLSchema" xmlns:p="http://schemas.microsoft.com/office/2006/metadata/properties" xmlns:ns2="89c6c834-5500-4d34-8d4a-2e90563177f5" xmlns:ns3="8cc82467-8cb5-4206-ba7c-5e39ccabeebb" targetNamespace="http://schemas.microsoft.com/office/2006/metadata/properties" ma:root="true" ma:fieldsID="da4900190a686e0e4816f311ebe1f90b" ns2:_="" ns3:_="">
    <xsd:import namespace="89c6c834-5500-4d34-8d4a-2e90563177f5"/>
    <xsd:import namespace="8cc82467-8cb5-4206-ba7c-5e39ccabee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6c834-5500-4d34-8d4a-2e9056317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f55c54-333a-4ed3-a999-6f0836af511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82467-8cb5-4206-ba7c-5e39ccabee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9c6c834-5500-4d34-8d4a-2e90563177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C39903-BBC5-42C8-AB9A-6F7365978EDF}"/>
</file>

<file path=customXml/itemProps3.xml><?xml version="1.0" encoding="utf-8"?>
<ds:datastoreItem xmlns:ds="http://schemas.openxmlformats.org/officeDocument/2006/customXml" ds:itemID="{73FE164F-CFD6-4105-8C97-E909AA4A03E4}"/>
</file>

<file path=customXml/itemProps4.xml><?xml version="1.0" encoding="utf-8"?>
<ds:datastoreItem xmlns:ds="http://schemas.openxmlformats.org/officeDocument/2006/customXml" ds:itemID="{311C0762-7044-440B-8C62-206049439754}"/>
</file>

<file path=docProps/app.xml><?xml version="1.0" encoding="utf-8"?>
<Properties xmlns="http://schemas.openxmlformats.org/officeDocument/2006/extended-properties" xmlns:vt="http://schemas.openxmlformats.org/officeDocument/2006/docPropsVTypes">
  <Template>Normal.dotm</Template>
  <TotalTime>0</TotalTime>
  <Pages>2</Pages>
  <Words>891</Words>
  <Characters>5180</Characters>
  <Application>Microsoft Office Word</Application>
  <DocSecurity>0</DocSecurity>
  <Lines>82</Lines>
  <Paragraphs>38</Paragraphs>
  <ScaleCrop>false</ScaleCrop>
  <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Cecilia Crews</cp:lastModifiedBy>
  <cp:revision>3</cp:revision>
  <dcterms:created xsi:type="dcterms:W3CDTF">2026-03-16T20:47:00Z</dcterms:created>
  <dcterms:modified xsi:type="dcterms:W3CDTF">2026-03-16T20:47:00Z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2026-03-07T19:43:08Z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dd34e8d0-0ae8-4390-97a7-0f434d766358</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y fmtid="{D5CDD505-2E9C-101B-9397-08002B2CF9AE}" pid="10" name="ContentTypeId">
    <vt:lpwstr>0x010100C15719744DB93641A8403A60BF24F6D2</vt:lpwstr>
  </property>
</Properties>
</file>